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62" w:rsidRDefault="00257D62">
      <w:pPr>
        <w:pStyle w:val="MessageHeader"/>
        <w:ind w:left="0" w:firstLine="0"/>
      </w:pPr>
    </w:p>
    <w:p w:rsidR="00257D62" w:rsidRDefault="00257D62">
      <w:pPr>
        <w:pStyle w:val="MessageHeader"/>
        <w:ind w:left="0" w:firstLine="0"/>
        <w:rPr>
          <w:sz w:val="32"/>
        </w:rPr>
      </w:pPr>
      <w:r>
        <w:rPr>
          <w:rFonts w:ascii="Comic Sans MS" w:hAnsi="Comic Sans MS"/>
          <w:sz w:val="32"/>
        </w:rPr>
        <w:tab/>
      </w:r>
    </w:p>
    <w:p w:rsidR="00257D62" w:rsidRDefault="00257D62">
      <w:pPr>
        <w:pStyle w:val="MessageHeader"/>
        <w:ind w:left="0" w:firstLine="0"/>
      </w:pPr>
    </w:p>
    <w:p w:rsidR="00257D62" w:rsidRDefault="00257D62">
      <w:pPr>
        <w:pStyle w:val="MessageHeader"/>
        <w:ind w:left="0" w:firstLine="0"/>
      </w:pPr>
    </w:p>
    <w:p w:rsidR="00257D62" w:rsidRPr="00B73F75" w:rsidRDefault="00257D62">
      <w:pPr>
        <w:pStyle w:val="MessageHeader"/>
        <w:tabs>
          <w:tab w:val="clear" w:pos="1560"/>
          <w:tab w:val="left" w:pos="1440"/>
        </w:tabs>
        <w:ind w:left="1440"/>
        <w:rPr>
          <w:b/>
          <w:sz w:val="24"/>
          <w:szCs w:val="24"/>
        </w:rPr>
      </w:pPr>
      <w:r>
        <w:tab/>
      </w:r>
      <w:r>
        <w:tab/>
      </w:r>
      <w:r>
        <w:tab/>
      </w:r>
      <w:r>
        <w:tab/>
      </w:r>
      <w:r>
        <w:tab/>
      </w:r>
      <w:r w:rsidRPr="00B73F75">
        <w:rPr>
          <w:sz w:val="24"/>
          <w:szCs w:val="24"/>
        </w:rPr>
        <w:t xml:space="preserve">   </w:t>
      </w:r>
      <w:r w:rsidR="0036056E" w:rsidRPr="00B73F75">
        <w:rPr>
          <w:b/>
          <w:sz w:val="24"/>
          <w:szCs w:val="24"/>
        </w:rPr>
        <w:t>Procedural Standard</w:t>
      </w:r>
      <w:r w:rsidRPr="00B73F75">
        <w:rPr>
          <w:b/>
          <w:sz w:val="24"/>
          <w:szCs w:val="24"/>
        </w:rPr>
        <w:t xml:space="preserve"> 98-5</w:t>
      </w:r>
      <w:r w:rsidRPr="00B73F75">
        <w:rPr>
          <w:sz w:val="24"/>
          <w:szCs w:val="24"/>
        </w:rPr>
        <w:tab/>
      </w:r>
      <w:r w:rsidRPr="00B73F75">
        <w:rPr>
          <w:sz w:val="24"/>
          <w:szCs w:val="24"/>
        </w:rPr>
        <w:tab/>
      </w:r>
      <w:r w:rsidRPr="00B73F75">
        <w:rPr>
          <w:sz w:val="24"/>
          <w:szCs w:val="24"/>
        </w:rPr>
        <w:tab/>
        <w:t xml:space="preserve"> </w:t>
      </w:r>
      <w:r w:rsidRPr="00B73F75">
        <w:rPr>
          <w:sz w:val="24"/>
          <w:szCs w:val="24"/>
        </w:rPr>
        <w:tab/>
        <w:t xml:space="preserve"> </w:t>
      </w:r>
      <w:r w:rsidRPr="00B73F75">
        <w:rPr>
          <w:sz w:val="24"/>
          <w:szCs w:val="24"/>
        </w:rPr>
        <w:tab/>
      </w:r>
      <w:r w:rsidRPr="00B73F75">
        <w:rPr>
          <w:sz w:val="24"/>
          <w:szCs w:val="24"/>
        </w:rPr>
        <w:tab/>
      </w:r>
      <w:r w:rsidR="009B6F15" w:rsidRPr="00B73F75">
        <w:rPr>
          <w:sz w:val="24"/>
          <w:szCs w:val="24"/>
        </w:rPr>
        <w:t xml:space="preserve">  </w:t>
      </w:r>
      <w:r w:rsidR="0036056E" w:rsidRPr="00B73F75">
        <w:rPr>
          <w:sz w:val="24"/>
          <w:szCs w:val="24"/>
        </w:rPr>
        <w:tab/>
        <w:t xml:space="preserve">  </w:t>
      </w:r>
      <w:r w:rsidR="00831F26">
        <w:rPr>
          <w:sz w:val="24"/>
          <w:szCs w:val="24"/>
        </w:rPr>
        <w:tab/>
        <w:t xml:space="preserve">   </w:t>
      </w:r>
      <w:r w:rsidR="0067621B">
        <w:rPr>
          <w:b/>
          <w:sz w:val="24"/>
          <w:szCs w:val="24"/>
        </w:rPr>
        <w:t xml:space="preserve">May </w:t>
      </w:r>
      <w:r w:rsidR="007D53D0">
        <w:rPr>
          <w:b/>
          <w:sz w:val="24"/>
          <w:szCs w:val="24"/>
        </w:rPr>
        <w:t>27</w:t>
      </w:r>
      <w:r w:rsidR="00831360" w:rsidRPr="00B73F75">
        <w:rPr>
          <w:b/>
          <w:sz w:val="24"/>
          <w:szCs w:val="24"/>
        </w:rPr>
        <w:t>, 20</w:t>
      </w:r>
      <w:r w:rsidR="00CB398C" w:rsidRPr="00B73F75">
        <w:rPr>
          <w:b/>
          <w:sz w:val="24"/>
          <w:szCs w:val="24"/>
        </w:rPr>
        <w:t>14</w:t>
      </w:r>
      <w:r w:rsidRPr="00B73F75">
        <w:rPr>
          <w:b/>
          <w:sz w:val="24"/>
          <w:szCs w:val="24"/>
        </w:rPr>
        <w:t xml:space="preserve"> </w:t>
      </w:r>
    </w:p>
    <w:p w:rsidR="00CF6129" w:rsidRPr="00B73F75" w:rsidRDefault="00CF6129">
      <w:pPr>
        <w:pStyle w:val="MessageHeader"/>
        <w:tabs>
          <w:tab w:val="clear" w:pos="1560"/>
          <w:tab w:val="left" w:pos="1440"/>
        </w:tabs>
        <w:ind w:left="1440"/>
        <w:rPr>
          <w:b/>
          <w:sz w:val="24"/>
          <w:szCs w:val="24"/>
        </w:rPr>
      </w:pPr>
    </w:p>
    <w:p w:rsidR="00257D62" w:rsidRPr="00B73F75" w:rsidRDefault="00257D62">
      <w:pPr>
        <w:pStyle w:val="MessageHeader"/>
        <w:tabs>
          <w:tab w:val="clear" w:pos="1560"/>
          <w:tab w:val="left" w:pos="0"/>
        </w:tabs>
        <w:ind w:left="0" w:firstLine="0"/>
        <w:rPr>
          <w:sz w:val="24"/>
          <w:szCs w:val="24"/>
        </w:rPr>
      </w:pPr>
      <w:r w:rsidRPr="00B73F75">
        <w:rPr>
          <w:sz w:val="24"/>
          <w:szCs w:val="24"/>
        </w:rPr>
        <w:t>TO:</w:t>
      </w:r>
      <w:r w:rsidRPr="00B73F75">
        <w:rPr>
          <w:sz w:val="24"/>
          <w:szCs w:val="24"/>
        </w:rPr>
        <w:tab/>
        <w:t xml:space="preserve">All </w:t>
      </w:r>
      <w:r w:rsidR="00831360" w:rsidRPr="00B73F75">
        <w:rPr>
          <w:sz w:val="24"/>
          <w:szCs w:val="24"/>
        </w:rPr>
        <w:t xml:space="preserve">Disability </w:t>
      </w:r>
      <w:r w:rsidRPr="00B73F75">
        <w:rPr>
          <w:sz w:val="24"/>
          <w:szCs w:val="24"/>
        </w:rPr>
        <w:t xml:space="preserve">Reviewers, Disability Assistants, </w:t>
      </w:r>
      <w:r w:rsidR="00607A77" w:rsidRPr="00B73F75">
        <w:rPr>
          <w:sz w:val="24"/>
          <w:szCs w:val="24"/>
        </w:rPr>
        <w:t>and CE</w:t>
      </w:r>
      <w:r w:rsidRPr="00B73F75">
        <w:rPr>
          <w:sz w:val="24"/>
          <w:szCs w:val="24"/>
        </w:rPr>
        <w:t xml:space="preserve"> </w:t>
      </w:r>
      <w:r w:rsidR="00831360" w:rsidRPr="00B73F75">
        <w:rPr>
          <w:sz w:val="24"/>
          <w:szCs w:val="24"/>
        </w:rPr>
        <w:t>S</w:t>
      </w:r>
      <w:r w:rsidRPr="00B73F75">
        <w:rPr>
          <w:sz w:val="24"/>
          <w:szCs w:val="24"/>
        </w:rPr>
        <w:t>chedulers</w:t>
      </w:r>
    </w:p>
    <w:p w:rsidR="00257D62" w:rsidRPr="00B73F75" w:rsidRDefault="00257D62">
      <w:pPr>
        <w:pStyle w:val="MessageHeader"/>
        <w:tabs>
          <w:tab w:val="clear" w:pos="1560"/>
          <w:tab w:val="left" w:pos="0"/>
        </w:tabs>
        <w:ind w:left="720" w:right="0"/>
        <w:rPr>
          <w:sz w:val="24"/>
          <w:szCs w:val="24"/>
        </w:rPr>
      </w:pPr>
      <w:r w:rsidRPr="00B73F75">
        <w:rPr>
          <w:sz w:val="24"/>
          <w:szCs w:val="24"/>
        </w:rPr>
        <w:t>FR:</w:t>
      </w:r>
      <w:r w:rsidRPr="00B73F75">
        <w:rPr>
          <w:sz w:val="24"/>
          <w:szCs w:val="24"/>
        </w:rPr>
        <w:tab/>
      </w:r>
      <w:r w:rsidR="00B60115" w:rsidRPr="00B73F75">
        <w:rPr>
          <w:sz w:val="24"/>
          <w:szCs w:val="24"/>
        </w:rPr>
        <w:t xml:space="preserve">A. E. Adams, Ph.D, Senior </w:t>
      </w:r>
      <w:r w:rsidR="00831360" w:rsidRPr="00B73F75">
        <w:rPr>
          <w:sz w:val="24"/>
          <w:szCs w:val="24"/>
        </w:rPr>
        <w:t xml:space="preserve">Director, </w:t>
      </w:r>
      <w:r w:rsidRPr="00B73F75">
        <w:rPr>
          <w:sz w:val="24"/>
          <w:szCs w:val="24"/>
        </w:rPr>
        <w:t>Disability Evaluation Services</w:t>
      </w:r>
    </w:p>
    <w:p w:rsidR="00831360" w:rsidRPr="00B73F75" w:rsidRDefault="00257D62" w:rsidP="00831360">
      <w:pPr>
        <w:pStyle w:val="MessageHeader"/>
        <w:tabs>
          <w:tab w:val="clear" w:pos="1560"/>
          <w:tab w:val="left" w:pos="0"/>
        </w:tabs>
        <w:ind w:left="0" w:right="0" w:firstLine="0"/>
        <w:rPr>
          <w:sz w:val="24"/>
          <w:szCs w:val="24"/>
        </w:rPr>
      </w:pPr>
      <w:r w:rsidRPr="00B73F75">
        <w:rPr>
          <w:sz w:val="24"/>
          <w:szCs w:val="24"/>
        </w:rPr>
        <w:t>BY:</w:t>
      </w:r>
      <w:r w:rsidRPr="00B73F75">
        <w:rPr>
          <w:sz w:val="24"/>
          <w:szCs w:val="24"/>
        </w:rPr>
        <w:tab/>
        <w:t>S</w:t>
      </w:r>
      <w:r w:rsidR="00831360" w:rsidRPr="00B73F75">
        <w:rPr>
          <w:sz w:val="24"/>
          <w:szCs w:val="24"/>
        </w:rPr>
        <w:t>herry Campanelli, Program Compliance Manager</w:t>
      </w:r>
    </w:p>
    <w:p w:rsidR="00257D62" w:rsidRPr="00B73F75" w:rsidRDefault="00257D62" w:rsidP="00831360">
      <w:pPr>
        <w:pStyle w:val="MessageHeader"/>
        <w:tabs>
          <w:tab w:val="clear" w:pos="1560"/>
          <w:tab w:val="left" w:pos="0"/>
        </w:tabs>
        <w:ind w:left="0" w:right="0" w:firstLine="0"/>
        <w:rPr>
          <w:b/>
          <w:sz w:val="24"/>
          <w:szCs w:val="24"/>
        </w:rPr>
      </w:pPr>
      <w:r w:rsidRPr="00B73F75">
        <w:rPr>
          <w:sz w:val="24"/>
          <w:szCs w:val="24"/>
        </w:rPr>
        <w:t>RE:</w:t>
      </w:r>
      <w:r w:rsidRPr="00B73F75">
        <w:rPr>
          <w:sz w:val="24"/>
          <w:szCs w:val="24"/>
        </w:rPr>
        <w:tab/>
      </w:r>
      <w:r w:rsidRPr="00B73F75">
        <w:rPr>
          <w:b/>
          <w:sz w:val="24"/>
          <w:szCs w:val="24"/>
        </w:rPr>
        <w:t>Rescheduling of</w:t>
      </w:r>
      <w:r w:rsidRPr="00B73F75">
        <w:rPr>
          <w:sz w:val="24"/>
          <w:szCs w:val="24"/>
        </w:rPr>
        <w:t xml:space="preserve"> </w:t>
      </w:r>
      <w:r w:rsidRPr="00B73F75">
        <w:rPr>
          <w:b/>
          <w:sz w:val="24"/>
          <w:szCs w:val="24"/>
        </w:rPr>
        <w:t xml:space="preserve">consultative examinations/good cause factors </w:t>
      </w:r>
    </w:p>
    <w:p w:rsidR="00257D62" w:rsidRPr="00B73F75" w:rsidRDefault="00257D62">
      <w:pPr>
        <w:pStyle w:val="MessageHeader"/>
        <w:tabs>
          <w:tab w:val="clear" w:pos="1560"/>
          <w:tab w:val="left" w:pos="0"/>
        </w:tabs>
        <w:ind w:left="720"/>
        <w:rPr>
          <w:sz w:val="24"/>
          <w:szCs w:val="24"/>
        </w:rPr>
      </w:pPr>
      <w:r w:rsidRPr="00B73F75">
        <w:rPr>
          <w:sz w:val="24"/>
          <w:szCs w:val="24"/>
        </w:rPr>
        <w:tab/>
      </w:r>
    </w:p>
    <w:p w:rsidR="00257D62" w:rsidRPr="00B73F75" w:rsidRDefault="00607A77" w:rsidP="001F0358">
      <w:pPr>
        <w:pStyle w:val="ListContinue"/>
        <w:tabs>
          <w:tab w:val="left" w:leader="underscore" w:pos="8730"/>
          <w:tab w:val="left" w:leader="underscore" w:pos="9360"/>
        </w:tabs>
        <w:ind w:left="-90" w:right="-90" w:hanging="1530"/>
        <w:rPr>
          <w:sz w:val="24"/>
          <w:szCs w:val="24"/>
        </w:rPr>
      </w:pPr>
      <w:r w:rsidRPr="00B73F75">
        <w:rPr>
          <w:b/>
          <w:sz w:val="24"/>
          <w:szCs w:val="24"/>
        </w:rPr>
        <w:t>Purpose:</w:t>
      </w:r>
      <w:r w:rsidRPr="00B73F75">
        <w:rPr>
          <w:b/>
          <w:sz w:val="24"/>
          <w:szCs w:val="24"/>
        </w:rPr>
        <w:tab/>
      </w:r>
      <w:r w:rsidRPr="00B73F75">
        <w:rPr>
          <w:sz w:val="24"/>
          <w:szCs w:val="24"/>
        </w:rPr>
        <w:t xml:space="preserve">The purpose of this memorandum is to clarify the procedures for rescheduling a consultative examination (CE) as directed by </w:t>
      </w:r>
      <w:r w:rsidRPr="00B73F75">
        <w:rPr>
          <w:i/>
          <w:sz w:val="24"/>
          <w:szCs w:val="24"/>
        </w:rPr>
        <w:t>Thibault, et al.</w:t>
      </w:r>
      <w:r w:rsidR="000146DA" w:rsidRPr="00B73F75">
        <w:rPr>
          <w:i/>
          <w:sz w:val="24"/>
          <w:szCs w:val="24"/>
        </w:rPr>
        <w:t xml:space="preserve"> </w:t>
      </w:r>
      <w:r w:rsidRPr="00B73F75">
        <w:rPr>
          <w:i/>
          <w:sz w:val="24"/>
          <w:szCs w:val="24"/>
        </w:rPr>
        <w:t xml:space="preserve"> </w:t>
      </w:r>
      <w:r w:rsidR="007B1D6A" w:rsidRPr="00B73F75">
        <w:rPr>
          <w:i/>
          <w:sz w:val="24"/>
          <w:szCs w:val="24"/>
        </w:rPr>
        <w:t xml:space="preserve">v. Department of Transitional </w:t>
      </w:r>
      <w:r w:rsidR="000146DA" w:rsidRPr="00B73F75">
        <w:rPr>
          <w:i/>
          <w:sz w:val="24"/>
          <w:szCs w:val="24"/>
        </w:rPr>
        <w:t xml:space="preserve">Assistance </w:t>
      </w:r>
      <w:r w:rsidR="000146DA" w:rsidRPr="00B73F75">
        <w:rPr>
          <w:sz w:val="24"/>
          <w:szCs w:val="24"/>
        </w:rPr>
        <w:t xml:space="preserve">and </w:t>
      </w:r>
      <w:r w:rsidR="000146DA" w:rsidRPr="00B73F75">
        <w:rPr>
          <w:i/>
          <w:sz w:val="24"/>
          <w:szCs w:val="24"/>
        </w:rPr>
        <w:t>Mc</w:t>
      </w:r>
      <w:r w:rsidR="000B59AB" w:rsidRPr="00B73F75">
        <w:rPr>
          <w:i/>
          <w:sz w:val="24"/>
          <w:szCs w:val="24"/>
        </w:rPr>
        <w:t>C</w:t>
      </w:r>
      <w:r w:rsidR="000146DA" w:rsidRPr="00B73F75">
        <w:rPr>
          <w:i/>
          <w:sz w:val="24"/>
          <w:szCs w:val="24"/>
        </w:rPr>
        <w:t>olgan and White v.</w:t>
      </w:r>
      <w:r w:rsidR="00172282" w:rsidRPr="00B73F75">
        <w:rPr>
          <w:i/>
          <w:sz w:val="24"/>
          <w:szCs w:val="24"/>
        </w:rPr>
        <w:t xml:space="preserve"> </w:t>
      </w:r>
      <w:r w:rsidR="000146DA" w:rsidRPr="00B73F75">
        <w:rPr>
          <w:i/>
          <w:sz w:val="24"/>
          <w:szCs w:val="24"/>
        </w:rPr>
        <w:t>Wagner</w:t>
      </w:r>
      <w:r w:rsidR="00B44F1C">
        <w:rPr>
          <w:sz w:val="24"/>
          <w:szCs w:val="24"/>
        </w:rPr>
        <w:t xml:space="preserve"> and our </w:t>
      </w:r>
      <w:r w:rsidR="0062084D">
        <w:rPr>
          <w:sz w:val="24"/>
          <w:szCs w:val="24"/>
        </w:rPr>
        <w:t>EOHHS Interagency Services Agreement</w:t>
      </w:r>
      <w:r w:rsidR="00292499">
        <w:rPr>
          <w:sz w:val="24"/>
          <w:szCs w:val="24"/>
        </w:rPr>
        <w:t xml:space="preserve">. </w:t>
      </w:r>
      <w:r w:rsidR="000B078C" w:rsidRPr="00B73F75">
        <w:rPr>
          <w:sz w:val="24"/>
          <w:szCs w:val="24"/>
        </w:rPr>
        <w:t>These instructions apply</w:t>
      </w:r>
      <w:r w:rsidR="00AE169E" w:rsidRPr="00B73F75">
        <w:rPr>
          <w:sz w:val="24"/>
          <w:szCs w:val="24"/>
        </w:rPr>
        <w:t xml:space="preserve"> </w:t>
      </w:r>
      <w:r w:rsidR="00257D62" w:rsidRPr="00B73F75">
        <w:rPr>
          <w:sz w:val="24"/>
          <w:szCs w:val="24"/>
        </w:rPr>
        <w:t>when the applicant calls to reschedule the appointment prior to the appointment date or has failed to attend the examination.  It further defines acceptable “Good Cause” events, including both loose and strict interpretations</w:t>
      </w:r>
      <w:r w:rsidR="00AE169E" w:rsidRPr="00B73F75">
        <w:rPr>
          <w:sz w:val="24"/>
          <w:szCs w:val="24"/>
        </w:rPr>
        <w:t>.</w:t>
      </w:r>
    </w:p>
    <w:p w:rsidR="00257D62" w:rsidRPr="00B73F75" w:rsidRDefault="00257D62">
      <w:pPr>
        <w:pStyle w:val="ListContinue"/>
        <w:pBdr>
          <w:bottom w:val="single" w:sz="12" w:space="1" w:color="auto"/>
        </w:pBdr>
        <w:tabs>
          <w:tab w:val="left" w:leader="underscore" w:pos="8730"/>
          <w:tab w:val="left" w:leader="underscore" w:pos="9360"/>
        </w:tabs>
        <w:ind w:left="0" w:right="-90"/>
        <w:rPr>
          <w:sz w:val="24"/>
          <w:szCs w:val="24"/>
        </w:rPr>
      </w:pPr>
    </w:p>
    <w:p w:rsidR="00345A5E" w:rsidRPr="00B73F75" w:rsidRDefault="00AE169E" w:rsidP="001F0358">
      <w:pPr>
        <w:pStyle w:val="ListContinue"/>
        <w:tabs>
          <w:tab w:val="left" w:leader="underscore" w:pos="8730"/>
          <w:tab w:val="left" w:leader="underscore" w:pos="9360"/>
        </w:tabs>
        <w:ind w:left="-90" w:right="-90" w:hanging="1530"/>
        <w:rPr>
          <w:sz w:val="24"/>
          <w:szCs w:val="24"/>
        </w:rPr>
      </w:pPr>
      <w:r w:rsidRPr="00B73F75">
        <w:rPr>
          <w:b/>
          <w:sz w:val="24"/>
          <w:szCs w:val="24"/>
        </w:rPr>
        <w:lastRenderedPageBreak/>
        <w:t>Background:</w:t>
      </w:r>
      <w:r w:rsidRPr="00B73F75">
        <w:rPr>
          <w:b/>
          <w:sz w:val="24"/>
          <w:szCs w:val="24"/>
        </w:rPr>
        <w:tab/>
      </w:r>
      <w:r w:rsidR="00257D62" w:rsidRPr="00B73F75">
        <w:rPr>
          <w:sz w:val="24"/>
          <w:szCs w:val="24"/>
        </w:rPr>
        <w:t>It is important that DES acknowledges a client’s intent to cooperate with the CE process while at the same time consistently adhering to established guidelines</w:t>
      </w:r>
      <w:r w:rsidR="005E1627" w:rsidRPr="00B73F75">
        <w:rPr>
          <w:sz w:val="24"/>
          <w:szCs w:val="24"/>
        </w:rPr>
        <w:t xml:space="preserve"> for rescheduling of CE’s</w:t>
      </w:r>
      <w:r w:rsidR="00257D62" w:rsidRPr="00B73F75">
        <w:rPr>
          <w:sz w:val="24"/>
          <w:szCs w:val="24"/>
        </w:rPr>
        <w:t xml:space="preserve">.  </w:t>
      </w:r>
      <w:r w:rsidR="00AC62DB" w:rsidRPr="00B73F75">
        <w:rPr>
          <w:sz w:val="24"/>
          <w:szCs w:val="24"/>
        </w:rPr>
        <w:t>Clients,</w:t>
      </w:r>
      <w:r w:rsidR="00257D62" w:rsidRPr="00B73F75">
        <w:rPr>
          <w:sz w:val="24"/>
          <w:szCs w:val="24"/>
        </w:rPr>
        <w:t xml:space="preserve"> who make an attempt to cooperate, as evidenced by the client’s call to DES about an appointment, will be afforded an opportunity to reschedule the CE appointment one time</w:t>
      </w:r>
      <w:r w:rsidR="002E7A93">
        <w:rPr>
          <w:sz w:val="24"/>
          <w:szCs w:val="24"/>
        </w:rPr>
        <w:t xml:space="preserve"> </w:t>
      </w:r>
      <w:r w:rsidR="00B24746">
        <w:rPr>
          <w:sz w:val="24"/>
          <w:szCs w:val="24"/>
        </w:rPr>
        <w:t xml:space="preserve">each episode </w:t>
      </w:r>
      <w:r w:rsidR="00257D62" w:rsidRPr="00B73F75">
        <w:rPr>
          <w:sz w:val="24"/>
          <w:szCs w:val="24"/>
        </w:rPr>
        <w:t xml:space="preserve">with “loose good cause” factors.  </w:t>
      </w:r>
    </w:p>
    <w:p w:rsidR="00345A5E" w:rsidRPr="00B73F75" w:rsidRDefault="00345A5E" w:rsidP="001F0358">
      <w:pPr>
        <w:pStyle w:val="ListContinue"/>
        <w:tabs>
          <w:tab w:val="left" w:leader="underscore" w:pos="8730"/>
          <w:tab w:val="left" w:leader="underscore" w:pos="9360"/>
        </w:tabs>
        <w:ind w:left="-90" w:right="-90" w:hanging="1530"/>
        <w:rPr>
          <w:sz w:val="24"/>
          <w:szCs w:val="24"/>
        </w:rPr>
      </w:pPr>
      <w:r w:rsidRPr="00B73F75">
        <w:rPr>
          <w:sz w:val="24"/>
          <w:szCs w:val="24"/>
        </w:rPr>
        <w:tab/>
        <w:t xml:space="preserve">Clients who fail to keep a CE appointment and who make no attempt to contact DES </w:t>
      </w:r>
      <w:r w:rsidR="003D2B2D" w:rsidRPr="00B73F75">
        <w:rPr>
          <w:sz w:val="24"/>
          <w:szCs w:val="24"/>
        </w:rPr>
        <w:t>are</w:t>
      </w:r>
      <w:r w:rsidRPr="00B73F75">
        <w:rPr>
          <w:sz w:val="24"/>
          <w:szCs w:val="24"/>
        </w:rPr>
        <w:t xml:space="preserve"> </w:t>
      </w:r>
      <w:r w:rsidRPr="00B73F75">
        <w:rPr>
          <w:sz w:val="24"/>
          <w:szCs w:val="24"/>
          <w:u w:val="single"/>
        </w:rPr>
        <w:t>not</w:t>
      </w:r>
      <w:r w:rsidRPr="00B73F75">
        <w:rPr>
          <w:sz w:val="24"/>
          <w:szCs w:val="24"/>
        </w:rPr>
        <w:t xml:space="preserve">  rescheduled.  In these </w:t>
      </w:r>
      <w:r w:rsidR="003D2B2D" w:rsidRPr="00B73F75">
        <w:rPr>
          <w:sz w:val="24"/>
          <w:szCs w:val="24"/>
        </w:rPr>
        <w:t>situations</w:t>
      </w:r>
      <w:r w:rsidRPr="00B73F75">
        <w:rPr>
          <w:sz w:val="24"/>
          <w:szCs w:val="24"/>
        </w:rPr>
        <w:t xml:space="preserve">, DES makes a decision based on available information.  </w:t>
      </w:r>
    </w:p>
    <w:p w:rsidR="00257D62" w:rsidRPr="00B73F75" w:rsidRDefault="005E1627" w:rsidP="00CF6129">
      <w:pPr>
        <w:pStyle w:val="ListContinue"/>
        <w:tabs>
          <w:tab w:val="left" w:leader="underscore" w:pos="8730"/>
          <w:tab w:val="left" w:leader="underscore" w:pos="9360"/>
        </w:tabs>
        <w:ind w:left="-90" w:right="-90" w:hanging="1620"/>
        <w:rPr>
          <w:sz w:val="24"/>
          <w:szCs w:val="24"/>
        </w:rPr>
      </w:pPr>
      <w:r w:rsidRPr="00B73F75">
        <w:rPr>
          <w:b/>
          <w:sz w:val="24"/>
          <w:szCs w:val="24"/>
        </w:rPr>
        <w:tab/>
      </w:r>
      <w:r w:rsidR="00257D62" w:rsidRPr="00B73F75">
        <w:rPr>
          <w:sz w:val="24"/>
          <w:szCs w:val="24"/>
        </w:rPr>
        <w:t>Any subsequent requests for rescheduling will only be for acceptable “strict good cause” reasons.  DES staff must document the client’s specific reason for not attending a CE</w:t>
      </w:r>
      <w:r w:rsidR="00321EA6" w:rsidRPr="00B73F75">
        <w:rPr>
          <w:sz w:val="24"/>
          <w:szCs w:val="24"/>
        </w:rPr>
        <w:t xml:space="preserve"> in DEScovery progress notes</w:t>
      </w:r>
      <w:r w:rsidRPr="00B73F75">
        <w:rPr>
          <w:sz w:val="24"/>
          <w:szCs w:val="24"/>
        </w:rPr>
        <w:t xml:space="preserve">. </w:t>
      </w:r>
      <w:r w:rsidR="00257D62" w:rsidRPr="00B73F75">
        <w:rPr>
          <w:sz w:val="24"/>
          <w:szCs w:val="24"/>
        </w:rPr>
        <w:t xml:space="preserve">  DES may require documentation related to the strict good cause events</w:t>
      </w:r>
      <w:r w:rsidR="006A2FD6" w:rsidRPr="00B73F75">
        <w:rPr>
          <w:sz w:val="24"/>
          <w:szCs w:val="24"/>
        </w:rPr>
        <w:t>,</w:t>
      </w:r>
      <w:r w:rsidR="00971DF4" w:rsidRPr="00B73F75">
        <w:rPr>
          <w:sz w:val="24"/>
          <w:szCs w:val="24"/>
        </w:rPr>
        <w:t xml:space="preserve"> </w:t>
      </w:r>
      <w:r w:rsidR="004903AD" w:rsidRPr="00B73F75">
        <w:rPr>
          <w:sz w:val="24"/>
          <w:szCs w:val="24"/>
        </w:rPr>
        <w:t xml:space="preserve">such as </w:t>
      </w:r>
      <w:r w:rsidR="00AD68C2" w:rsidRPr="00B73F75">
        <w:rPr>
          <w:sz w:val="24"/>
          <w:szCs w:val="24"/>
        </w:rPr>
        <w:t xml:space="preserve">for </w:t>
      </w:r>
      <w:r w:rsidR="00257D62" w:rsidRPr="00B73F75">
        <w:rPr>
          <w:sz w:val="24"/>
          <w:szCs w:val="24"/>
        </w:rPr>
        <w:t xml:space="preserve">court dates, work, </w:t>
      </w:r>
      <w:r w:rsidR="00AD68C2" w:rsidRPr="00B73F75">
        <w:rPr>
          <w:sz w:val="24"/>
          <w:szCs w:val="24"/>
        </w:rPr>
        <w:t xml:space="preserve">and/or </w:t>
      </w:r>
      <w:r w:rsidR="00257D62" w:rsidRPr="00B73F75">
        <w:rPr>
          <w:sz w:val="24"/>
          <w:szCs w:val="24"/>
        </w:rPr>
        <w:t>death</w:t>
      </w:r>
      <w:r w:rsidRPr="00B73F75">
        <w:rPr>
          <w:sz w:val="24"/>
          <w:szCs w:val="24"/>
        </w:rPr>
        <w:t xml:space="preserve"> of relatives</w:t>
      </w:r>
      <w:r w:rsidR="00AD68C2" w:rsidRPr="00B73F75">
        <w:rPr>
          <w:sz w:val="24"/>
          <w:szCs w:val="24"/>
        </w:rPr>
        <w:t>.</w:t>
      </w:r>
      <w:r w:rsidR="00D92DF6" w:rsidRPr="00B73F75">
        <w:rPr>
          <w:sz w:val="24"/>
          <w:szCs w:val="24"/>
        </w:rPr>
        <w:t xml:space="preserve">  Any doubt about whether or not to proceed with rescheduling a CE should be resolved by consulting a </w:t>
      </w:r>
      <w:r w:rsidR="00C6421F" w:rsidRPr="00B73F75">
        <w:rPr>
          <w:sz w:val="24"/>
          <w:szCs w:val="24"/>
        </w:rPr>
        <w:t xml:space="preserve">Clinical </w:t>
      </w:r>
      <w:r w:rsidR="00D92DF6" w:rsidRPr="00B73F75">
        <w:rPr>
          <w:sz w:val="24"/>
          <w:szCs w:val="24"/>
        </w:rPr>
        <w:t>Manager</w:t>
      </w:r>
      <w:r w:rsidR="003A673F" w:rsidRPr="00B73F75">
        <w:rPr>
          <w:sz w:val="24"/>
          <w:szCs w:val="24"/>
        </w:rPr>
        <w:t xml:space="preserve"> or Administrative </w:t>
      </w:r>
      <w:r w:rsidR="00C6421F" w:rsidRPr="00B73F75">
        <w:rPr>
          <w:sz w:val="24"/>
          <w:szCs w:val="24"/>
        </w:rPr>
        <w:t>Manager</w:t>
      </w:r>
      <w:r w:rsidR="003A673F" w:rsidRPr="00B73F75">
        <w:rPr>
          <w:sz w:val="24"/>
          <w:szCs w:val="24"/>
        </w:rPr>
        <w:t>.</w:t>
      </w:r>
    </w:p>
    <w:p w:rsidR="00257D62" w:rsidRPr="00B73F75" w:rsidRDefault="00257D62">
      <w:pPr>
        <w:pStyle w:val="ListContinue"/>
        <w:tabs>
          <w:tab w:val="left" w:leader="underscore" w:pos="8730"/>
          <w:tab w:val="left" w:leader="underscore" w:pos="9360"/>
        </w:tabs>
        <w:ind w:left="0" w:right="-90"/>
        <w:rPr>
          <w:sz w:val="24"/>
          <w:szCs w:val="24"/>
        </w:rPr>
      </w:pPr>
      <w:r w:rsidRPr="00B73F75">
        <w:rPr>
          <w:sz w:val="24"/>
          <w:szCs w:val="24"/>
        </w:rPr>
        <w:tab/>
      </w:r>
    </w:p>
    <w:p w:rsidR="00257D62" w:rsidRPr="00B73F75" w:rsidRDefault="00335BCF" w:rsidP="00335BCF">
      <w:pPr>
        <w:pStyle w:val="ListBullet"/>
        <w:rPr>
          <w:szCs w:val="24"/>
        </w:rPr>
      </w:pPr>
      <w:r w:rsidRPr="00B73F75">
        <w:rPr>
          <w:szCs w:val="24"/>
        </w:rPr>
        <w:tab/>
      </w:r>
      <w:r w:rsidR="00257D62" w:rsidRPr="00B73F75">
        <w:rPr>
          <w:szCs w:val="24"/>
        </w:rPr>
        <w:t xml:space="preserve">The following is a list of acceptable “strict good cause” events related to </w:t>
      </w:r>
      <w:r w:rsidR="000F347A" w:rsidRPr="00B73F75">
        <w:rPr>
          <w:szCs w:val="24"/>
        </w:rPr>
        <w:t xml:space="preserve">rescheduling  </w:t>
      </w:r>
      <w:r w:rsidR="00257D62" w:rsidRPr="00B73F75">
        <w:rPr>
          <w:szCs w:val="24"/>
        </w:rPr>
        <w:t>consultative examinations</w:t>
      </w:r>
      <w:r w:rsidR="000F347A" w:rsidRPr="00B73F75">
        <w:rPr>
          <w:szCs w:val="24"/>
        </w:rPr>
        <w:t xml:space="preserve"> beyond the first time:</w:t>
      </w:r>
    </w:p>
    <w:p w:rsidR="00192FBC" w:rsidRPr="00B73F75" w:rsidRDefault="00192FBC" w:rsidP="00D60E7B">
      <w:pPr>
        <w:pStyle w:val="ListParagraph"/>
        <w:numPr>
          <w:ilvl w:val="1"/>
          <w:numId w:val="36"/>
        </w:numPr>
        <w:rPr>
          <w:sz w:val="24"/>
          <w:szCs w:val="24"/>
        </w:rPr>
      </w:pPr>
      <w:r w:rsidRPr="00B73F75">
        <w:rPr>
          <w:sz w:val="24"/>
          <w:szCs w:val="24"/>
        </w:rPr>
        <w:t>there has been a death in the applicant's/recipient's immediate family within the last two weeks;</w:t>
      </w:r>
    </w:p>
    <w:p w:rsidR="00192FBC" w:rsidRPr="00B73F75" w:rsidRDefault="00192FBC" w:rsidP="00D60E7B">
      <w:pPr>
        <w:pStyle w:val="ListParagraph"/>
        <w:numPr>
          <w:ilvl w:val="1"/>
          <w:numId w:val="36"/>
        </w:numPr>
        <w:rPr>
          <w:sz w:val="24"/>
          <w:szCs w:val="24"/>
        </w:rPr>
      </w:pPr>
      <w:r w:rsidRPr="00B73F75">
        <w:rPr>
          <w:sz w:val="24"/>
          <w:szCs w:val="24"/>
        </w:rPr>
        <w:t>the applicant/recipient has an illness on the date of the scheduled exam or significant exacerbation of the chronic condition on the date of the exam;</w:t>
      </w:r>
    </w:p>
    <w:p w:rsidR="00192FBC" w:rsidRPr="00B73F75" w:rsidRDefault="00192FBC" w:rsidP="00D60E7B">
      <w:pPr>
        <w:pStyle w:val="ListParagraph"/>
        <w:numPr>
          <w:ilvl w:val="1"/>
          <w:numId w:val="36"/>
        </w:numPr>
        <w:rPr>
          <w:sz w:val="24"/>
          <w:szCs w:val="24"/>
        </w:rPr>
      </w:pPr>
      <w:r w:rsidRPr="00B73F75">
        <w:rPr>
          <w:sz w:val="24"/>
          <w:szCs w:val="24"/>
        </w:rPr>
        <w:t>the applicant/recipient failed to receive the notice of an examination;</w:t>
      </w:r>
    </w:p>
    <w:p w:rsidR="00192FBC" w:rsidRPr="00B73F75" w:rsidRDefault="00192FBC" w:rsidP="00D60E7B">
      <w:pPr>
        <w:pStyle w:val="ListParagraph"/>
        <w:numPr>
          <w:ilvl w:val="1"/>
          <w:numId w:val="36"/>
        </w:numPr>
        <w:rPr>
          <w:sz w:val="24"/>
          <w:szCs w:val="24"/>
        </w:rPr>
      </w:pPr>
      <w:r w:rsidRPr="00B73F75">
        <w:rPr>
          <w:sz w:val="24"/>
          <w:szCs w:val="24"/>
        </w:rPr>
        <w:t>the applicant/recipient received incorrect information about the location and/or time of  the examination;</w:t>
      </w:r>
    </w:p>
    <w:p w:rsidR="00192FBC" w:rsidRPr="00B73F75" w:rsidRDefault="00192FBC" w:rsidP="00D60E7B">
      <w:pPr>
        <w:pStyle w:val="ListParagraph"/>
        <w:numPr>
          <w:ilvl w:val="1"/>
          <w:numId w:val="36"/>
        </w:numPr>
        <w:rPr>
          <w:sz w:val="24"/>
          <w:szCs w:val="24"/>
        </w:rPr>
      </w:pPr>
      <w:r w:rsidRPr="00B73F75">
        <w:rPr>
          <w:sz w:val="24"/>
          <w:szCs w:val="24"/>
        </w:rPr>
        <w:t>there is a breakdown in transportation arrangements with no ready access to alternate transportation;</w:t>
      </w:r>
    </w:p>
    <w:p w:rsidR="00192FBC" w:rsidRPr="00B73F75" w:rsidRDefault="00192FBC" w:rsidP="00D60E7B">
      <w:pPr>
        <w:pStyle w:val="ListParagraph"/>
        <w:numPr>
          <w:ilvl w:val="1"/>
          <w:numId w:val="36"/>
        </w:numPr>
        <w:rPr>
          <w:sz w:val="24"/>
          <w:szCs w:val="24"/>
        </w:rPr>
      </w:pPr>
      <w:r w:rsidRPr="00B73F75">
        <w:rPr>
          <w:sz w:val="24"/>
          <w:szCs w:val="24"/>
        </w:rPr>
        <w:t>there is a breakdown in child care arrangements with no ready alternatives;</w:t>
      </w:r>
    </w:p>
    <w:p w:rsidR="00192FBC" w:rsidRPr="00B73F75" w:rsidRDefault="00192FBC" w:rsidP="00D60E7B">
      <w:pPr>
        <w:pStyle w:val="ListParagraph"/>
        <w:numPr>
          <w:ilvl w:val="1"/>
          <w:numId w:val="36"/>
        </w:numPr>
        <w:rPr>
          <w:sz w:val="24"/>
          <w:szCs w:val="24"/>
        </w:rPr>
      </w:pPr>
      <w:r w:rsidRPr="00B73F75">
        <w:rPr>
          <w:sz w:val="24"/>
          <w:szCs w:val="24"/>
        </w:rPr>
        <w:t>illness of a child with no ready alternatives for providing the child with care;</w:t>
      </w:r>
    </w:p>
    <w:p w:rsidR="00192FBC" w:rsidRPr="00B73F75" w:rsidRDefault="00192FBC" w:rsidP="00D60E7B">
      <w:pPr>
        <w:pStyle w:val="ListParagraph"/>
        <w:numPr>
          <w:ilvl w:val="1"/>
          <w:numId w:val="36"/>
        </w:numPr>
        <w:rPr>
          <w:sz w:val="24"/>
          <w:szCs w:val="24"/>
        </w:rPr>
      </w:pPr>
      <w:r w:rsidRPr="00B73F75">
        <w:rPr>
          <w:sz w:val="24"/>
          <w:szCs w:val="24"/>
        </w:rPr>
        <w:t>the applicant/recipient  has been called for jury duty or other court appearance on the date of the exam;</w:t>
      </w:r>
    </w:p>
    <w:p w:rsidR="00192FBC" w:rsidRPr="00B73F75" w:rsidRDefault="00192FBC" w:rsidP="00D60E7B">
      <w:pPr>
        <w:pStyle w:val="ListParagraph"/>
        <w:numPr>
          <w:ilvl w:val="1"/>
          <w:numId w:val="36"/>
        </w:numPr>
        <w:rPr>
          <w:sz w:val="24"/>
          <w:szCs w:val="24"/>
        </w:rPr>
      </w:pPr>
      <w:r w:rsidRPr="00B73F75">
        <w:rPr>
          <w:sz w:val="24"/>
          <w:szCs w:val="24"/>
        </w:rPr>
        <w:t>the applicant/recipient has conflicting school or other work/training commitments as a part of their approved DTA plan;</w:t>
      </w:r>
    </w:p>
    <w:p w:rsidR="00192FBC" w:rsidRPr="00B73F75" w:rsidRDefault="00192FBC" w:rsidP="00D60E7B">
      <w:pPr>
        <w:pStyle w:val="ListParagraph"/>
        <w:numPr>
          <w:ilvl w:val="1"/>
          <w:numId w:val="36"/>
        </w:numPr>
        <w:rPr>
          <w:sz w:val="24"/>
          <w:szCs w:val="24"/>
        </w:rPr>
      </w:pPr>
      <w:r w:rsidRPr="00B73F75">
        <w:rPr>
          <w:sz w:val="24"/>
          <w:szCs w:val="24"/>
        </w:rPr>
        <w:t>the applicant/recipient has a temporary illness, such as a cold or flu;</w:t>
      </w:r>
    </w:p>
    <w:p w:rsidR="00192FBC" w:rsidRPr="00B73F75" w:rsidRDefault="00192FBC" w:rsidP="00D60E7B">
      <w:pPr>
        <w:pStyle w:val="ListParagraph"/>
        <w:numPr>
          <w:ilvl w:val="1"/>
          <w:numId w:val="36"/>
        </w:numPr>
        <w:rPr>
          <w:sz w:val="24"/>
          <w:szCs w:val="24"/>
        </w:rPr>
      </w:pPr>
      <w:r w:rsidRPr="00B73F75">
        <w:rPr>
          <w:sz w:val="24"/>
          <w:szCs w:val="24"/>
        </w:rPr>
        <w:t>inclement weather which makes travel impossible; or</w:t>
      </w:r>
    </w:p>
    <w:p w:rsidR="00192FBC" w:rsidRPr="00B73F75" w:rsidRDefault="00192FBC" w:rsidP="00D60E7B">
      <w:pPr>
        <w:pStyle w:val="ListParagraph"/>
        <w:numPr>
          <w:ilvl w:val="1"/>
          <w:numId w:val="36"/>
        </w:numPr>
        <w:rPr>
          <w:sz w:val="24"/>
          <w:szCs w:val="24"/>
        </w:rPr>
      </w:pPr>
      <w:r w:rsidRPr="00B73F75">
        <w:rPr>
          <w:sz w:val="24"/>
          <w:szCs w:val="24"/>
        </w:rPr>
        <w:t>the applicant or recipient or a member of his or her immediate family suffers a family crisis or emergency situation or other compelling circumstance beyond the control of the applicant/recipient and that (a) demands the applicant's/recipient's immediate attention; (b) can only be attended to by the applicant/recipient; and (c) can only be attended to during the time of the scheduled examination.</w:t>
      </w:r>
    </w:p>
    <w:p w:rsidR="00D60E7B" w:rsidRPr="00B73F75" w:rsidRDefault="00D60E7B" w:rsidP="00D60E7B">
      <w:pPr>
        <w:pStyle w:val="ListParagraph"/>
        <w:numPr>
          <w:ilvl w:val="1"/>
          <w:numId w:val="36"/>
        </w:numPr>
        <w:rPr>
          <w:sz w:val="24"/>
          <w:szCs w:val="24"/>
        </w:rPr>
      </w:pPr>
      <w:r w:rsidRPr="00B73F75">
        <w:rPr>
          <w:sz w:val="24"/>
          <w:szCs w:val="24"/>
        </w:rPr>
        <w:t xml:space="preserve">Other reasons deemed equally compelling by the </w:t>
      </w:r>
      <w:r w:rsidR="00B44F1C">
        <w:rPr>
          <w:sz w:val="24"/>
          <w:szCs w:val="24"/>
        </w:rPr>
        <w:t>Clinical Manager</w:t>
      </w:r>
      <w:r w:rsidRPr="00B73F75">
        <w:rPr>
          <w:sz w:val="24"/>
          <w:szCs w:val="24"/>
        </w:rPr>
        <w:t xml:space="preserve"> or </w:t>
      </w:r>
      <w:r w:rsidR="00B44F1C">
        <w:rPr>
          <w:sz w:val="24"/>
          <w:szCs w:val="24"/>
        </w:rPr>
        <w:t xml:space="preserve">an </w:t>
      </w:r>
      <w:r w:rsidRPr="00B73F75">
        <w:rPr>
          <w:sz w:val="24"/>
          <w:szCs w:val="24"/>
        </w:rPr>
        <w:t xml:space="preserve">Administrative </w:t>
      </w:r>
      <w:r w:rsidR="00B44F1C">
        <w:rPr>
          <w:sz w:val="24"/>
          <w:szCs w:val="24"/>
        </w:rPr>
        <w:t>Manager.</w:t>
      </w:r>
    </w:p>
    <w:p w:rsidR="00D60E7B" w:rsidRPr="00B73F75" w:rsidRDefault="00D60E7B" w:rsidP="00E02B08">
      <w:pPr>
        <w:pStyle w:val="ListParagraph"/>
        <w:ind w:left="1440"/>
        <w:rPr>
          <w:color w:val="7030A0"/>
          <w:sz w:val="24"/>
          <w:szCs w:val="24"/>
        </w:rPr>
      </w:pPr>
    </w:p>
    <w:p w:rsidR="00192FBC" w:rsidRPr="00B73F75" w:rsidRDefault="00192FBC" w:rsidP="00D60E7B">
      <w:pPr>
        <w:rPr>
          <w:sz w:val="24"/>
          <w:szCs w:val="24"/>
        </w:rPr>
      </w:pPr>
    </w:p>
    <w:p w:rsidR="00257D62" w:rsidRPr="00B73F75" w:rsidRDefault="00257D62">
      <w:pPr>
        <w:rPr>
          <w:sz w:val="24"/>
          <w:szCs w:val="24"/>
        </w:rPr>
      </w:pPr>
    </w:p>
    <w:p w:rsidR="00257D62" w:rsidRPr="00B73F75" w:rsidRDefault="00257D62">
      <w:pPr>
        <w:pStyle w:val="ListContinue"/>
        <w:tabs>
          <w:tab w:val="left" w:leader="underscore" w:pos="8730"/>
          <w:tab w:val="left" w:leader="underscore" w:pos="9360"/>
        </w:tabs>
        <w:ind w:left="0" w:right="-90"/>
        <w:rPr>
          <w:sz w:val="24"/>
          <w:szCs w:val="24"/>
        </w:rPr>
      </w:pPr>
      <w:r w:rsidRPr="00B73F75">
        <w:rPr>
          <w:b/>
          <w:sz w:val="24"/>
          <w:szCs w:val="24"/>
        </w:rPr>
        <w:t xml:space="preserve"> “Loose good cause”</w:t>
      </w:r>
      <w:r w:rsidRPr="00B73F75">
        <w:rPr>
          <w:sz w:val="24"/>
          <w:szCs w:val="24"/>
        </w:rPr>
        <w:t xml:space="preserve"> will include all the above plus any reasonable excuse the client offers</w:t>
      </w:r>
      <w:r w:rsidR="00AC62DB" w:rsidRPr="00B73F75">
        <w:rPr>
          <w:sz w:val="24"/>
          <w:szCs w:val="24"/>
        </w:rPr>
        <w:t>.</w:t>
      </w:r>
    </w:p>
    <w:p w:rsidR="00257D62" w:rsidRPr="00B73F75" w:rsidRDefault="00335BCF" w:rsidP="001F0358">
      <w:pPr>
        <w:pStyle w:val="ListContinue"/>
        <w:tabs>
          <w:tab w:val="left" w:leader="underscore" w:pos="8730"/>
          <w:tab w:val="left" w:leader="underscore" w:pos="9360"/>
        </w:tabs>
        <w:ind w:left="0" w:right="-90" w:hanging="1620"/>
        <w:rPr>
          <w:sz w:val="24"/>
          <w:szCs w:val="24"/>
        </w:rPr>
      </w:pPr>
      <w:r w:rsidRPr="00B73F75">
        <w:rPr>
          <w:b/>
          <w:sz w:val="24"/>
          <w:szCs w:val="24"/>
        </w:rPr>
        <w:t>Procedure:</w:t>
      </w:r>
      <w:r w:rsidRPr="00B73F75">
        <w:rPr>
          <w:b/>
          <w:sz w:val="24"/>
          <w:szCs w:val="24"/>
        </w:rPr>
        <w:tab/>
      </w:r>
      <w:r w:rsidR="00257D62" w:rsidRPr="00B73F75">
        <w:rPr>
          <w:sz w:val="24"/>
          <w:szCs w:val="24"/>
        </w:rPr>
        <w:t>Procedures for the following scenarios should be followed consistently:</w:t>
      </w:r>
    </w:p>
    <w:p w:rsidR="00257D62" w:rsidRPr="00B73F75" w:rsidRDefault="00257D62">
      <w:pPr>
        <w:numPr>
          <w:ilvl w:val="0"/>
          <w:numId w:val="22"/>
        </w:numPr>
        <w:rPr>
          <w:sz w:val="24"/>
          <w:szCs w:val="24"/>
        </w:rPr>
      </w:pPr>
      <w:r w:rsidRPr="00B73F75">
        <w:rPr>
          <w:b/>
          <w:sz w:val="24"/>
          <w:szCs w:val="24"/>
        </w:rPr>
        <w:t>Client calls saying (s)he refuses to attend any CE</w:t>
      </w:r>
      <w:r w:rsidRPr="00B73F75">
        <w:rPr>
          <w:sz w:val="24"/>
          <w:szCs w:val="24"/>
        </w:rPr>
        <w:t>: The D</w:t>
      </w:r>
      <w:r w:rsidR="007842F8" w:rsidRPr="00B73F75">
        <w:rPr>
          <w:sz w:val="24"/>
          <w:szCs w:val="24"/>
        </w:rPr>
        <w:t>isability Assistant (D</w:t>
      </w:r>
      <w:r w:rsidRPr="00B73F75">
        <w:rPr>
          <w:sz w:val="24"/>
          <w:szCs w:val="24"/>
        </w:rPr>
        <w:t>A</w:t>
      </w:r>
      <w:r w:rsidR="007842F8" w:rsidRPr="00B73F75">
        <w:rPr>
          <w:sz w:val="24"/>
          <w:szCs w:val="24"/>
        </w:rPr>
        <w:t>)</w:t>
      </w:r>
      <w:r w:rsidRPr="00B73F75">
        <w:rPr>
          <w:sz w:val="24"/>
          <w:szCs w:val="24"/>
        </w:rPr>
        <w:t xml:space="preserve"> </w:t>
      </w:r>
      <w:r w:rsidR="00C7292E" w:rsidRPr="00B73F75">
        <w:rPr>
          <w:sz w:val="24"/>
          <w:szCs w:val="24"/>
        </w:rPr>
        <w:t>proceeds as follows:</w:t>
      </w:r>
      <w:r w:rsidRPr="00B73F75">
        <w:rPr>
          <w:sz w:val="24"/>
          <w:szCs w:val="24"/>
        </w:rPr>
        <w:tab/>
      </w:r>
      <w:r w:rsidRPr="00B73F75">
        <w:rPr>
          <w:sz w:val="24"/>
          <w:szCs w:val="24"/>
        </w:rPr>
        <w:tab/>
      </w:r>
      <w:r w:rsidRPr="00B73F75">
        <w:rPr>
          <w:sz w:val="24"/>
          <w:szCs w:val="24"/>
        </w:rPr>
        <w:tab/>
      </w:r>
      <w:r w:rsidRPr="00B73F75">
        <w:rPr>
          <w:sz w:val="24"/>
          <w:szCs w:val="24"/>
        </w:rPr>
        <w:tab/>
      </w:r>
    </w:p>
    <w:p w:rsidR="00257D62" w:rsidRPr="00B73F75" w:rsidRDefault="00257D62">
      <w:pPr>
        <w:numPr>
          <w:ilvl w:val="0"/>
          <w:numId w:val="21"/>
        </w:numPr>
        <w:tabs>
          <w:tab w:val="clear" w:pos="360"/>
          <w:tab w:val="num" w:pos="1080"/>
        </w:tabs>
        <w:ind w:left="1080"/>
        <w:rPr>
          <w:sz w:val="24"/>
          <w:szCs w:val="24"/>
        </w:rPr>
      </w:pPr>
      <w:r w:rsidRPr="00B73F75">
        <w:rPr>
          <w:sz w:val="24"/>
          <w:szCs w:val="24"/>
        </w:rPr>
        <w:lastRenderedPageBreak/>
        <w:t>Cancel</w:t>
      </w:r>
      <w:r w:rsidR="00C7292E" w:rsidRPr="00B73F75">
        <w:rPr>
          <w:sz w:val="24"/>
          <w:szCs w:val="24"/>
        </w:rPr>
        <w:t>s</w:t>
      </w:r>
      <w:r w:rsidRPr="00B73F75">
        <w:rPr>
          <w:sz w:val="24"/>
          <w:szCs w:val="24"/>
        </w:rPr>
        <w:t xml:space="preserve"> scheduled CE(s)</w:t>
      </w:r>
    </w:p>
    <w:p w:rsidR="00257D62" w:rsidRPr="00B73F75" w:rsidRDefault="00257D62">
      <w:pPr>
        <w:numPr>
          <w:ilvl w:val="0"/>
          <w:numId w:val="6"/>
        </w:numPr>
        <w:ind w:left="1080"/>
        <w:rPr>
          <w:sz w:val="24"/>
          <w:szCs w:val="24"/>
        </w:rPr>
      </w:pPr>
      <w:r w:rsidRPr="00B73F75">
        <w:rPr>
          <w:sz w:val="24"/>
          <w:szCs w:val="24"/>
        </w:rPr>
        <w:t>State</w:t>
      </w:r>
      <w:r w:rsidR="00C7292E" w:rsidRPr="00B73F75">
        <w:rPr>
          <w:sz w:val="24"/>
          <w:szCs w:val="24"/>
        </w:rPr>
        <w:t>s</w:t>
      </w:r>
      <w:r w:rsidRPr="00B73F75">
        <w:rPr>
          <w:sz w:val="24"/>
          <w:szCs w:val="24"/>
        </w:rPr>
        <w:t xml:space="preserve"> that a decision will be made with information that is available.</w:t>
      </w:r>
    </w:p>
    <w:p w:rsidR="00257D62" w:rsidRPr="00B73F75" w:rsidRDefault="00257D62">
      <w:pPr>
        <w:numPr>
          <w:ilvl w:val="0"/>
          <w:numId w:val="5"/>
        </w:numPr>
        <w:ind w:left="1080"/>
        <w:rPr>
          <w:sz w:val="24"/>
          <w:szCs w:val="24"/>
        </w:rPr>
      </w:pPr>
      <w:r w:rsidRPr="00B73F75">
        <w:rPr>
          <w:sz w:val="24"/>
          <w:szCs w:val="24"/>
        </w:rPr>
        <w:t>Document</w:t>
      </w:r>
      <w:r w:rsidR="00C7292E" w:rsidRPr="00B73F75">
        <w:rPr>
          <w:sz w:val="24"/>
          <w:szCs w:val="24"/>
        </w:rPr>
        <w:t>s</w:t>
      </w:r>
      <w:r w:rsidRPr="00B73F75">
        <w:rPr>
          <w:sz w:val="24"/>
          <w:szCs w:val="24"/>
        </w:rPr>
        <w:t xml:space="preserve"> telephone call and client’s statement in </w:t>
      </w:r>
      <w:r w:rsidR="007B0D5A" w:rsidRPr="00B73F75">
        <w:rPr>
          <w:sz w:val="24"/>
          <w:szCs w:val="24"/>
        </w:rPr>
        <w:t xml:space="preserve">a DEScovery </w:t>
      </w:r>
      <w:r w:rsidRPr="00B73F75">
        <w:rPr>
          <w:sz w:val="24"/>
          <w:szCs w:val="24"/>
        </w:rPr>
        <w:t>progress note</w:t>
      </w:r>
    </w:p>
    <w:p w:rsidR="00257D62" w:rsidRPr="00B73F75" w:rsidRDefault="000B59AB">
      <w:pPr>
        <w:numPr>
          <w:ilvl w:val="0"/>
          <w:numId w:val="5"/>
        </w:numPr>
        <w:ind w:left="1080"/>
        <w:rPr>
          <w:sz w:val="24"/>
          <w:szCs w:val="24"/>
        </w:rPr>
      </w:pPr>
      <w:r w:rsidRPr="00B73F75">
        <w:rPr>
          <w:sz w:val="24"/>
          <w:szCs w:val="24"/>
        </w:rPr>
        <w:t xml:space="preserve">The </w:t>
      </w:r>
      <w:r w:rsidR="007842F8" w:rsidRPr="00B73F75">
        <w:rPr>
          <w:sz w:val="24"/>
          <w:szCs w:val="24"/>
        </w:rPr>
        <w:t xml:space="preserve">Disability Reviewer (DR) </w:t>
      </w:r>
      <w:r w:rsidR="00C7292E" w:rsidRPr="00B73F75">
        <w:rPr>
          <w:sz w:val="24"/>
          <w:szCs w:val="24"/>
        </w:rPr>
        <w:t xml:space="preserve">then </w:t>
      </w:r>
      <w:r w:rsidR="007842F8" w:rsidRPr="00B73F75">
        <w:rPr>
          <w:sz w:val="24"/>
          <w:szCs w:val="24"/>
        </w:rPr>
        <w:t xml:space="preserve">decides case based on available information.  </w:t>
      </w:r>
      <w:r w:rsidR="00AC62DB" w:rsidRPr="00B73F75">
        <w:rPr>
          <w:sz w:val="24"/>
          <w:szCs w:val="24"/>
        </w:rPr>
        <w:t>If denial, DR closes case coded as “253– Failure to cooperate.”</w:t>
      </w:r>
    </w:p>
    <w:p w:rsidR="00257D62" w:rsidRPr="00B73F75" w:rsidRDefault="00257D62">
      <w:pPr>
        <w:rPr>
          <w:sz w:val="24"/>
          <w:szCs w:val="24"/>
        </w:rPr>
      </w:pPr>
    </w:p>
    <w:p w:rsidR="00257D62" w:rsidRPr="00B73F75" w:rsidRDefault="00257D62">
      <w:pPr>
        <w:numPr>
          <w:ilvl w:val="0"/>
          <w:numId w:val="22"/>
        </w:numPr>
        <w:rPr>
          <w:sz w:val="24"/>
          <w:szCs w:val="24"/>
        </w:rPr>
      </w:pPr>
      <w:r w:rsidRPr="00B73F75">
        <w:rPr>
          <w:b/>
          <w:sz w:val="24"/>
          <w:szCs w:val="24"/>
        </w:rPr>
        <w:t xml:space="preserve">Client calls to request re-schedule </w:t>
      </w:r>
      <w:r w:rsidRPr="00B73F75">
        <w:rPr>
          <w:b/>
          <w:sz w:val="24"/>
          <w:szCs w:val="24"/>
          <w:u w:val="single"/>
        </w:rPr>
        <w:t>prior</w:t>
      </w:r>
      <w:r w:rsidRPr="00B73F75">
        <w:rPr>
          <w:b/>
          <w:sz w:val="24"/>
          <w:szCs w:val="24"/>
        </w:rPr>
        <w:t xml:space="preserve"> to appointment #1 date</w:t>
      </w:r>
      <w:r w:rsidRPr="00B73F75">
        <w:rPr>
          <w:sz w:val="24"/>
          <w:szCs w:val="24"/>
        </w:rPr>
        <w:t>:</w:t>
      </w:r>
    </w:p>
    <w:p w:rsidR="00257D62" w:rsidRPr="00B73F75" w:rsidRDefault="00257D62">
      <w:pPr>
        <w:rPr>
          <w:sz w:val="24"/>
          <w:szCs w:val="24"/>
        </w:rPr>
      </w:pPr>
    </w:p>
    <w:p w:rsidR="00257D62" w:rsidRPr="00B73F75" w:rsidRDefault="00257D62">
      <w:pPr>
        <w:numPr>
          <w:ilvl w:val="0"/>
          <w:numId w:val="7"/>
        </w:numPr>
        <w:ind w:left="1080"/>
        <w:rPr>
          <w:sz w:val="24"/>
          <w:szCs w:val="24"/>
        </w:rPr>
      </w:pPr>
      <w:r w:rsidRPr="00B73F75">
        <w:rPr>
          <w:sz w:val="24"/>
          <w:szCs w:val="24"/>
        </w:rPr>
        <w:t xml:space="preserve">Any reasonable excuse (“loose good cause”) is acceptable for </w:t>
      </w:r>
      <w:r w:rsidR="007B0D5A" w:rsidRPr="00B73F75">
        <w:rPr>
          <w:sz w:val="24"/>
          <w:szCs w:val="24"/>
        </w:rPr>
        <w:t>#</w:t>
      </w:r>
      <w:r w:rsidRPr="00B73F75">
        <w:rPr>
          <w:sz w:val="24"/>
          <w:szCs w:val="24"/>
        </w:rPr>
        <w:t>1 re-schedule</w:t>
      </w:r>
    </w:p>
    <w:p w:rsidR="00257D62" w:rsidRPr="00B73F75" w:rsidRDefault="00257D62">
      <w:pPr>
        <w:numPr>
          <w:ilvl w:val="0"/>
          <w:numId w:val="8"/>
        </w:numPr>
        <w:ind w:left="1080"/>
        <w:rPr>
          <w:sz w:val="24"/>
          <w:szCs w:val="24"/>
        </w:rPr>
      </w:pPr>
      <w:r w:rsidRPr="00B73F75">
        <w:rPr>
          <w:sz w:val="24"/>
          <w:szCs w:val="24"/>
        </w:rPr>
        <w:t>DA read</w:t>
      </w:r>
      <w:r w:rsidR="00C7292E" w:rsidRPr="00B73F75">
        <w:rPr>
          <w:sz w:val="24"/>
          <w:szCs w:val="24"/>
        </w:rPr>
        <w:t>s</w:t>
      </w:r>
      <w:r w:rsidRPr="00B73F75">
        <w:rPr>
          <w:sz w:val="24"/>
          <w:szCs w:val="24"/>
        </w:rPr>
        <w:t xml:space="preserve"> “loose good cause” </w:t>
      </w:r>
      <w:r w:rsidR="005022F3" w:rsidRPr="00B004BF">
        <w:rPr>
          <w:sz w:val="24"/>
          <w:szCs w:val="24"/>
        </w:rPr>
        <w:t>script</w:t>
      </w:r>
      <w:r w:rsidRPr="00B73F75">
        <w:rPr>
          <w:sz w:val="24"/>
          <w:szCs w:val="24"/>
        </w:rPr>
        <w:t xml:space="preserve"> regarding rescheduling including “strict good cause” information</w:t>
      </w:r>
    </w:p>
    <w:p w:rsidR="00257D62" w:rsidRPr="00B73F75" w:rsidRDefault="00257D62">
      <w:pPr>
        <w:numPr>
          <w:ilvl w:val="0"/>
          <w:numId w:val="8"/>
        </w:numPr>
        <w:ind w:left="1080"/>
        <w:rPr>
          <w:sz w:val="24"/>
          <w:szCs w:val="24"/>
        </w:rPr>
      </w:pPr>
      <w:r w:rsidRPr="00B73F75">
        <w:rPr>
          <w:sz w:val="24"/>
          <w:szCs w:val="24"/>
        </w:rPr>
        <w:t>DA document</w:t>
      </w:r>
      <w:r w:rsidR="00C7292E" w:rsidRPr="00B73F75">
        <w:rPr>
          <w:sz w:val="24"/>
          <w:szCs w:val="24"/>
        </w:rPr>
        <w:t>s</w:t>
      </w:r>
      <w:r w:rsidRPr="00B73F75">
        <w:rPr>
          <w:sz w:val="24"/>
          <w:szCs w:val="24"/>
        </w:rPr>
        <w:t xml:space="preserve"> client’s specific reason for not attending the CE in </w:t>
      </w:r>
      <w:r w:rsidR="007B0D5A" w:rsidRPr="00B73F75">
        <w:rPr>
          <w:sz w:val="24"/>
          <w:szCs w:val="24"/>
        </w:rPr>
        <w:t xml:space="preserve">a DEScovery </w:t>
      </w:r>
      <w:r w:rsidRPr="00B73F75">
        <w:rPr>
          <w:sz w:val="24"/>
          <w:szCs w:val="24"/>
        </w:rPr>
        <w:t>progress note and reschedule</w:t>
      </w:r>
      <w:r w:rsidR="00C7292E" w:rsidRPr="00B73F75">
        <w:rPr>
          <w:sz w:val="24"/>
          <w:szCs w:val="24"/>
        </w:rPr>
        <w:t>s</w:t>
      </w:r>
      <w:r w:rsidRPr="00B73F75">
        <w:rPr>
          <w:sz w:val="24"/>
          <w:szCs w:val="24"/>
        </w:rPr>
        <w:t xml:space="preserve"> the appointment.</w:t>
      </w:r>
    </w:p>
    <w:p w:rsidR="00257D62" w:rsidRPr="00B73F75" w:rsidRDefault="00257D62">
      <w:pPr>
        <w:ind w:left="1440" w:firstLine="720"/>
        <w:rPr>
          <w:sz w:val="24"/>
          <w:szCs w:val="24"/>
        </w:rPr>
      </w:pPr>
    </w:p>
    <w:p w:rsidR="00257D62" w:rsidRPr="00B73F75" w:rsidRDefault="00257D62">
      <w:pPr>
        <w:pStyle w:val="Heading1"/>
        <w:numPr>
          <w:ilvl w:val="0"/>
          <w:numId w:val="22"/>
        </w:numPr>
        <w:rPr>
          <w:sz w:val="24"/>
          <w:szCs w:val="24"/>
        </w:rPr>
      </w:pPr>
      <w:r w:rsidRPr="00B73F75">
        <w:rPr>
          <w:sz w:val="24"/>
          <w:szCs w:val="24"/>
        </w:rPr>
        <w:t>Client is a “no-show” for CE appointment #1</w:t>
      </w:r>
    </w:p>
    <w:p w:rsidR="00257D62" w:rsidRPr="00B73F75" w:rsidRDefault="00257D62">
      <w:pPr>
        <w:rPr>
          <w:sz w:val="24"/>
          <w:szCs w:val="24"/>
        </w:rPr>
      </w:pPr>
    </w:p>
    <w:p w:rsidR="00257D62" w:rsidRPr="00B73F75" w:rsidRDefault="007B0D5A">
      <w:pPr>
        <w:rPr>
          <w:sz w:val="24"/>
          <w:szCs w:val="24"/>
        </w:rPr>
      </w:pPr>
      <w:r w:rsidRPr="00B73F75">
        <w:rPr>
          <w:sz w:val="24"/>
          <w:szCs w:val="24"/>
        </w:rPr>
        <w:t>“No shows” are routinely identified by</w:t>
      </w:r>
      <w:r w:rsidR="00257D62" w:rsidRPr="00B73F75">
        <w:rPr>
          <w:sz w:val="24"/>
          <w:szCs w:val="24"/>
        </w:rPr>
        <w:t xml:space="preserve"> the </w:t>
      </w:r>
      <w:r w:rsidR="003A7D65" w:rsidRPr="008F4265">
        <w:rPr>
          <w:sz w:val="24"/>
          <w:szCs w:val="24"/>
        </w:rPr>
        <w:t>Provider Management Coordinator (PCM)</w:t>
      </w:r>
      <w:r w:rsidR="003A7D65" w:rsidRPr="00B73F75">
        <w:rPr>
          <w:color w:val="1F497D"/>
          <w:sz w:val="24"/>
          <w:szCs w:val="24"/>
        </w:rPr>
        <w:t xml:space="preserve"> </w:t>
      </w:r>
      <w:r w:rsidR="00257D62" w:rsidRPr="00B73F75">
        <w:rPr>
          <w:sz w:val="24"/>
          <w:szCs w:val="24"/>
        </w:rPr>
        <w:t>who call</w:t>
      </w:r>
      <w:r w:rsidR="0017666E">
        <w:rPr>
          <w:sz w:val="24"/>
          <w:szCs w:val="24"/>
        </w:rPr>
        <w:t>s</w:t>
      </w:r>
      <w:r w:rsidR="00257D62" w:rsidRPr="00B73F75">
        <w:rPr>
          <w:sz w:val="24"/>
          <w:szCs w:val="24"/>
        </w:rPr>
        <w:t xml:space="preserve"> or fax</w:t>
      </w:r>
      <w:r w:rsidR="0017666E">
        <w:rPr>
          <w:sz w:val="24"/>
          <w:szCs w:val="24"/>
        </w:rPr>
        <w:t>es</w:t>
      </w:r>
      <w:r w:rsidR="00257D62" w:rsidRPr="00B73F75">
        <w:rPr>
          <w:sz w:val="24"/>
          <w:szCs w:val="24"/>
        </w:rPr>
        <w:t xml:space="preserve"> the CE provider the day after the appointment to determine the client’s show/no-show status.  </w:t>
      </w:r>
      <w:r w:rsidR="003A7D65" w:rsidRPr="00B73F75">
        <w:rPr>
          <w:sz w:val="24"/>
          <w:szCs w:val="24"/>
        </w:rPr>
        <w:t xml:space="preserve">PCM </w:t>
      </w:r>
      <w:r w:rsidR="00257D62" w:rsidRPr="00B73F75">
        <w:rPr>
          <w:sz w:val="24"/>
          <w:szCs w:val="24"/>
        </w:rPr>
        <w:t xml:space="preserve">also </w:t>
      </w:r>
      <w:r w:rsidR="00840F74" w:rsidRPr="00B73F75">
        <w:rPr>
          <w:sz w:val="24"/>
          <w:szCs w:val="24"/>
        </w:rPr>
        <w:t>may determine</w:t>
      </w:r>
      <w:r w:rsidR="00257D62" w:rsidRPr="00B73F75">
        <w:rPr>
          <w:sz w:val="24"/>
          <w:szCs w:val="24"/>
        </w:rPr>
        <w:t xml:space="preserve"> if the client called the CE provider to cancel or reschedule the appointment.</w:t>
      </w:r>
      <w:r w:rsidR="003A673F" w:rsidRPr="00B73F75">
        <w:rPr>
          <w:sz w:val="24"/>
          <w:szCs w:val="24"/>
        </w:rPr>
        <w:t xml:space="preserve"> </w:t>
      </w:r>
    </w:p>
    <w:p w:rsidR="00257D62" w:rsidRPr="00B73F75" w:rsidRDefault="00257D62">
      <w:pPr>
        <w:rPr>
          <w:sz w:val="24"/>
          <w:szCs w:val="24"/>
        </w:rPr>
      </w:pPr>
    </w:p>
    <w:p w:rsidR="00257D62" w:rsidRPr="00B73F75" w:rsidRDefault="00257D62">
      <w:pPr>
        <w:numPr>
          <w:ilvl w:val="0"/>
          <w:numId w:val="9"/>
        </w:numPr>
        <w:ind w:left="1080"/>
        <w:rPr>
          <w:sz w:val="24"/>
          <w:szCs w:val="24"/>
        </w:rPr>
      </w:pPr>
      <w:r w:rsidRPr="00B73F75">
        <w:rPr>
          <w:sz w:val="24"/>
          <w:szCs w:val="24"/>
        </w:rPr>
        <w:t xml:space="preserve">Client calls DES/provider </w:t>
      </w:r>
      <w:r w:rsidRPr="00B73F75">
        <w:rPr>
          <w:b/>
          <w:sz w:val="24"/>
          <w:szCs w:val="24"/>
        </w:rPr>
        <w:t xml:space="preserve">within </w:t>
      </w:r>
      <w:r w:rsidR="00211132" w:rsidRPr="00B73F75">
        <w:rPr>
          <w:b/>
          <w:sz w:val="24"/>
          <w:szCs w:val="24"/>
        </w:rPr>
        <w:t>72 hours</w:t>
      </w:r>
      <w:r w:rsidRPr="00B73F75">
        <w:rPr>
          <w:sz w:val="24"/>
          <w:szCs w:val="24"/>
        </w:rPr>
        <w:t xml:space="preserve"> with reasonable excuse (“loose good cause”) for no-show: </w:t>
      </w:r>
      <w:r w:rsidR="00FD67DF" w:rsidRPr="00B73F75">
        <w:rPr>
          <w:sz w:val="24"/>
          <w:szCs w:val="24"/>
        </w:rPr>
        <w:t xml:space="preserve"> </w:t>
      </w:r>
      <w:r w:rsidRPr="00B73F75">
        <w:rPr>
          <w:sz w:val="24"/>
          <w:szCs w:val="24"/>
        </w:rPr>
        <w:t>DA read</w:t>
      </w:r>
      <w:r w:rsidR="00C7292E" w:rsidRPr="00B73F75">
        <w:rPr>
          <w:sz w:val="24"/>
          <w:szCs w:val="24"/>
        </w:rPr>
        <w:t>s</w:t>
      </w:r>
      <w:r w:rsidRPr="00B73F75">
        <w:rPr>
          <w:sz w:val="24"/>
          <w:szCs w:val="24"/>
        </w:rPr>
        <w:t xml:space="preserve"> </w:t>
      </w:r>
      <w:r w:rsidR="00607A77" w:rsidRPr="00B73F75">
        <w:rPr>
          <w:sz w:val="24"/>
          <w:szCs w:val="24"/>
        </w:rPr>
        <w:t>the “</w:t>
      </w:r>
      <w:r w:rsidRPr="00B73F75">
        <w:rPr>
          <w:sz w:val="24"/>
          <w:szCs w:val="24"/>
        </w:rPr>
        <w:t xml:space="preserve">loose good cause” </w:t>
      </w:r>
      <w:r w:rsidR="005022F3" w:rsidRPr="00B004BF">
        <w:rPr>
          <w:sz w:val="24"/>
          <w:szCs w:val="24"/>
        </w:rPr>
        <w:t>script</w:t>
      </w:r>
      <w:r w:rsidRPr="00B004BF">
        <w:rPr>
          <w:sz w:val="24"/>
          <w:szCs w:val="24"/>
        </w:rPr>
        <w:t>,</w:t>
      </w:r>
      <w:r w:rsidRPr="00B73F75">
        <w:rPr>
          <w:sz w:val="24"/>
          <w:szCs w:val="24"/>
        </w:rPr>
        <w:t xml:space="preserve"> document</w:t>
      </w:r>
      <w:r w:rsidR="00C7292E" w:rsidRPr="00B73F75">
        <w:rPr>
          <w:sz w:val="24"/>
          <w:szCs w:val="24"/>
        </w:rPr>
        <w:t>s</w:t>
      </w:r>
      <w:r w:rsidRPr="00B73F75">
        <w:rPr>
          <w:sz w:val="24"/>
          <w:szCs w:val="24"/>
        </w:rPr>
        <w:t xml:space="preserve"> the client’s specific reason for not attending the CE in the progress note and reschedule</w:t>
      </w:r>
      <w:r w:rsidR="00C7292E" w:rsidRPr="00B73F75">
        <w:rPr>
          <w:sz w:val="24"/>
          <w:szCs w:val="24"/>
        </w:rPr>
        <w:t>s</w:t>
      </w:r>
      <w:r w:rsidRPr="00B73F75">
        <w:rPr>
          <w:sz w:val="24"/>
          <w:szCs w:val="24"/>
        </w:rPr>
        <w:t xml:space="preserve"> the appointment.</w:t>
      </w:r>
    </w:p>
    <w:p w:rsidR="00257D62" w:rsidRPr="00B73F75" w:rsidRDefault="00257D62">
      <w:pPr>
        <w:numPr>
          <w:ilvl w:val="0"/>
          <w:numId w:val="10"/>
        </w:numPr>
        <w:ind w:left="1080"/>
        <w:rPr>
          <w:sz w:val="24"/>
          <w:szCs w:val="24"/>
        </w:rPr>
      </w:pPr>
      <w:r w:rsidRPr="00B73F75">
        <w:rPr>
          <w:sz w:val="24"/>
          <w:szCs w:val="24"/>
        </w:rPr>
        <w:t xml:space="preserve">Client does not call: </w:t>
      </w:r>
      <w:r w:rsidR="00FD67DF" w:rsidRPr="00B73F75">
        <w:rPr>
          <w:sz w:val="24"/>
          <w:szCs w:val="24"/>
        </w:rPr>
        <w:t xml:space="preserve"> </w:t>
      </w:r>
      <w:r w:rsidR="007842F8" w:rsidRPr="00B73F75">
        <w:rPr>
          <w:sz w:val="24"/>
          <w:szCs w:val="24"/>
        </w:rPr>
        <w:t xml:space="preserve">DR decides </w:t>
      </w:r>
      <w:r w:rsidR="007C2A29" w:rsidRPr="00B73F75">
        <w:rPr>
          <w:sz w:val="24"/>
          <w:szCs w:val="24"/>
        </w:rPr>
        <w:t xml:space="preserve">case </w:t>
      </w:r>
      <w:r w:rsidR="007842F8" w:rsidRPr="00B73F75">
        <w:rPr>
          <w:sz w:val="24"/>
          <w:szCs w:val="24"/>
        </w:rPr>
        <w:t xml:space="preserve">based on available information.  If denial, DR </w:t>
      </w:r>
      <w:r w:rsidRPr="00B73F75">
        <w:rPr>
          <w:sz w:val="24"/>
          <w:szCs w:val="24"/>
        </w:rPr>
        <w:t>close</w:t>
      </w:r>
      <w:r w:rsidR="007842F8" w:rsidRPr="00B73F75">
        <w:rPr>
          <w:sz w:val="24"/>
          <w:szCs w:val="24"/>
        </w:rPr>
        <w:t>s</w:t>
      </w:r>
      <w:r w:rsidRPr="00B73F75">
        <w:rPr>
          <w:sz w:val="24"/>
          <w:szCs w:val="24"/>
        </w:rPr>
        <w:t xml:space="preserve"> the case </w:t>
      </w:r>
      <w:r w:rsidR="007B0D5A" w:rsidRPr="00B73F75">
        <w:rPr>
          <w:sz w:val="24"/>
          <w:szCs w:val="24"/>
        </w:rPr>
        <w:t xml:space="preserve">coded </w:t>
      </w:r>
      <w:r w:rsidRPr="00B73F75">
        <w:rPr>
          <w:sz w:val="24"/>
          <w:szCs w:val="24"/>
        </w:rPr>
        <w:t xml:space="preserve">as </w:t>
      </w:r>
      <w:r w:rsidR="007B0D5A" w:rsidRPr="00B73F75">
        <w:rPr>
          <w:sz w:val="24"/>
          <w:szCs w:val="24"/>
        </w:rPr>
        <w:t>“</w:t>
      </w:r>
      <w:r w:rsidRPr="00B73F75">
        <w:rPr>
          <w:sz w:val="24"/>
          <w:szCs w:val="24"/>
        </w:rPr>
        <w:t>252</w:t>
      </w:r>
      <w:r w:rsidR="003A673F" w:rsidRPr="00B73F75">
        <w:rPr>
          <w:sz w:val="24"/>
          <w:szCs w:val="24"/>
        </w:rPr>
        <w:t xml:space="preserve"> -</w:t>
      </w:r>
      <w:r w:rsidRPr="00B73F75">
        <w:rPr>
          <w:sz w:val="24"/>
          <w:szCs w:val="24"/>
        </w:rPr>
        <w:t xml:space="preserve"> </w:t>
      </w:r>
      <w:r w:rsidR="000B59AB" w:rsidRPr="00B73F75">
        <w:rPr>
          <w:sz w:val="24"/>
          <w:szCs w:val="24"/>
        </w:rPr>
        <w:t>Failure to attend consultative e</w:t>
      </w:r>
      <w:r w:rsidR="00ED44F7" w:rsidRPr="00B73F75">
        <w:rPr>
          <w:sz w:val="24"/>
          <w:szCs w:val="24"/>
        </w:rPr>
        <w:t xml:space="preserve">xamination” </w:t>
      </w:r>
      <w:r w:rsidRPr="00B73F75">
        <w:rPr>
          <w:sz w:val="24"/>
          <w:szCs w:val="24"/>
        </w:rPr>
        <w:t xml:space="preserve">after </w:t>
      </w:r>
      <w:r w:rsidR="008F4265">
        <w:rPr>
          <w:sz w:val="24"/>
          <w:szCs w:val="24"/>
        </w:rPr>
        <w:t>72 hours</w:t>
      </w:r>
      <w:r w:rsidRPr="00B73F75">
        <w:rPr>
          <w:sz w:val="24"/>
          <w:szCs w:val="24"/>
        </w:rPr>
        <w:t>.</w:t>
      </w:r>
    </w:p>
    <w:p w:rsidR="00257D62" w:rsidRPr="00B73F75" w:rsidRDefault="00257D62">
      <w:pPr>
        <w:rPr>
          <w:sz w:val="24"/>
          <w:szCs w:val="24"/>
        </w:rPr>
      </w:pPr>
    </w:p>
    <w:p w:rsidR="00257D62" w:rsidRPr="00B73F75" w:rsidRDefault="00257D62">
      <w:pPr>
        <w:numPr>
          <w:ilvl w:val="0"/>
          <w:numId w:val="22"/>
        </w:numPr>
        <w:rPr>
          <w:sz w:val="24"/>
          <w:szCs w:val="24"/>
        </w:rPr>
      </w:pPr>
      <w:r w:rsidRPr="00B73F75">
        <w:rPr>
          <w:b/>
          <w:sz w:val="24"/>
          <w:szCs w:val="24"/>
        </w:rPr>
        <w:t xml:space="preserve">Client calls to request re-schedule </w:t>
      </w:r>
      <w:r w:rsidRPr="00B73F75">
        <w:rPr>
          <w:b/>
          <w:sz w:val="24"/>
          <w:szCs w:val="24"/>
          <w:u w:val="single"/>
        </w:rPr>
        <w:t>prior</w:t>
      </w:r>
      <w:r w:rsidRPr="00B73F75">
        <w:rPr>
          <w:b/>
          <w:sz w:val="24"/>
          <w:szCs w:val="24"/>
        </w:rPr>
        <w:t xml:space="preserve"> to appointment #2 date</w:t>
      </w:r>
      <w:r w:rsidRPr="00B73F75">
        <w:rPr>
          <w:sz w:val="24"/>
          <w:szCs w:val="24"/>
        </w:rPr>
        <w:t>:</w:t>
      </w:r>
    </w:p>
    <w:p w:rsidR="00257D62" w:rsidRPr="00B73F75" w:rsidRDefault="00257D62">
      <w:pPr>
        <w:rPr>
          <w:sz w:val="24"/>
          <w:szCs w:val="24"/>
        </w:rPr>
      </w:pPr>
    </w:p>
    <w:p w:rsidR="00257D62" w:rsidRPr="00B73F75" w:rsidRDefault="00257D62">
      <w:pPr>
        <w:numPr>
          <w:ilvl w:val="0"/>
          <w:numId w:val="8"/>
        </w:numPr>
        <w:ind w:left="1080"/>
        <w:rPr>
          <w:sz w:val="24"/>
          <w:szCs w:val="24"/>
        </w:rPr>
      </w:pPr>
      <w:r w:rsidRPr="00B73F75">
        <w:rPr>
          <w:sz w:val="24"/>
          <w:szCs w:val="24"/>
        </w:rPr>
        <w:t>DA read</w:t>
      </w:r>
      <w:r w:rsidR="00C7292E" w:rsidRPr="00B73F75">
        <w:rPr>
          <w:sz w:val="24"/>
          <w:szCs w:val="24"/>
        </w:rPr>
        <w:t>s</w:t>
      </w:r>
      <w:r w:rsidRPr="00B73F75">
        <w:rPr>
          <w:sz w:val="24"/>
          <w:szCs w:val="24"/>
        </w:rPr>
        <w:t xml:space="preserve"> “strict good cause” script regarding rescheduling.</w:t>
      </w:r>
    </w:p>
    <w:p w:rsidR="00257D62" w:rsidRPr="00B73F75" w:rsidRDefault="00257D62">
      <w:pPr>
        <w:numPr>
          <w:ilvl w:val="0"/>
          <w:numId w:val="17"/>
        </w:numPr>
        <w:ind w:left="1080"/>
        <w:rPr>
          <w:sz w:val="24"/>
          <w:szCs w:val="24"/>
        </w:rPr>
      </w:pPr>
      <w:r w:rsidRPr="00B73F75">
        <w:rPr>
          <w:sz w:val="24"/>
          <w:szCs w:val="24"/>
        </w:rPr>
        <w:t>If client’s reason meets “</w:t>
      </w:r>
      <w:r w:rsidR="002934AA">
        <w:rPr>
          <w:sz w:val="24"/>
          <w:szCs w:val="24"/>
        </w:rPr>
        <w:t xml:space="preserve">strict </w:t>
      </w:r>
      <w:r w:rsidRPr="00B73F75">
        <w:rPr>
          <w:sz w:val="24"/>
          <w:szCs w:val="24"/>
        </w:rPr>
        <w:t>good cause”, DA document</w:t>
      </w:r>
      <w:r w:rsidR="00C7292E" w:rsidRPr="00B73F75">
        <w:rPr>
          <w:sz w:val="24"/>
          <w:szCs w:val="24"/>
        </w:rPr>
        <w:t>s</w:t>
      </w:r>
      <w:r w:rsidRPr="00B73F75">
        <w:rPr>
          <w:sz w:val="24"/>
          <w:szCs w:val="24"/>
        </w:rPr>
        <w:t xml:space="preserve"> client’s specific reason for not attending the CE in </w:t>
      </w:r>
      <w:r w:rsidR="003245D3" w:rsidRPr="00B73F75">
        <w:rPr>
          <w:sz w:val="24"/>
          <w:szCs w:val="24"/>
        </w:rPr>
        <w:t xml:space="preserve">a </w:t>
      </w:r>
      <w:r w:rsidRPr="00B73F75">
        <w:rPr>
          <w:sz w:val="24"/>
          <w:szCs w:val="24"/>
        </w:rPr>
        <w:t>progress note and reschedule</w:t>
      </w:r>
      <w:r w:rsidR="00C7292E" w:rsidRPr="00B73F75">
        <w:rPr>
          <w:sz w:val="24"/>
          <w:szCs w:val="24"/>
        </w:rPr>
        <w:t>s</w:t>
      </w:r>
      <w:r w:rsidRPr="00B73F75">
        <w:rPr>
          <w:sz w:val="24"/>
          <w:szCs w:val="24"/>
        </w:rPr>
        <w:t xml:space="preserve"> the appointment. DES may require documentation related to the good cause event.</w:t>
      </w:r>
    </w:p>
    <w:p w:rsidR="00C7292E" w:rsidRPr="00B73F75" w:rsidRDefault="00257D62" w:rsidP="00C7292E">
      <w:pPr>
        <w:numPr>
          <w:ilvl w:val="0"/>
          <w:numId w:val="8"/>
        </w:numPr>
        <w:ind w:left="1080"/>
        <w:rPr>
          <w:sz w:val="24"/>
          <w:szCs w:val="24"/>
        </w:rPr>
      </w:pPr>
      <w:r w:rsidRPr="00B73F75">
        <w:rPr>
          <w:sz w:val="24"/>
          <w:szCs w:val="24"/>
        </w:rPr>
        <w:t xml:space="preserve">If client’s reason does not meet “strict good cause”, </w:t>
      </w:r>
      <w:r w:rsidR="00C7292E" w:rsidRPr="00B73F75">
        <w:rPr>
          <w:sz w:val="24"/>
          <w:szCs w:val="24"/>
        </w:rPr>
        <w:t xml:space="preserve">DA </w:t>
      </w:r>
      <w:r w:rsidRPr="00B73F75">
        <w:rPr>
          <w:sz w:val="24"/>
          <w:szCs w:val="24"/>
        </w:rPr>
        <w:t>read</w:t>
      </w:r>
      <w:r w:rsidR="00C7292E" w:rsidRPr="00B73F75">
        <w:rPr>
          <w:sz w:val="24"/>
          <w:szCs w:val="24"/>
        </w:rPr>
        <w:t>s</w:t>
      </w:r>
      <w:r w:rsidRPr="00B73F75">
        <w:rPr>
          <w:sz w:val="24"/>
          <w:szCs w:val="24"/>
        </w:rPr>
        <w:t xml:space="preserve"> “strict good cause” </w:t>
      </w:r>
      <w:r w:rsidR="005022F3" w:rsidRPr="00B004BF">
        <w:rPr>
          <w:sz w:val="24"/>
          <w:szCs w:val="24"/>
        </w:rPr>
        <w:t>script</w:t>
      </w:r>
      <w:r w:rsidRPr="00B004BF">
        <w:rPr>
          <w:sz w:val="24"/>
          <w:szCs w:val="24"/>
        </w:rPr>
        <w:t>,</w:t>
      </w:r>
      <w:r w:rsidRPr="00B73F75">
        <w:rPr>
          <w:sz w:val="24"/>
          <w:szCs w:val="24"/>
        </w:rPr>
        <w:t xml:space="preserve"> document</w:t>
      </w:r>
      <w:r w:rsidR="00C7292E" w:rsidRPr="00B73F75">
        <w:rPr>
          <w:sz w:val="24"/>
          <w:szCs w:val="24"/>
        </w:rPr>
        <w:t>s</w:t>
      </w:r>
      <w:r w:rsidRPr="00B73F75">
        <w:rPr>
          <w:sz w:val="24"/>
          <w:szCs w:val="24"/>
        </w:rPr>
        <w:t xml:space="preserve"> client’s specific reason for not attending the CE in progress note and do</w:t>
      </w:r>
      <w:r w:rsidR="00C7292E" w:rsidRPr="00B73F75">
        <w:rPr>
          <w:sz w:val="24"/>
          <w:szCs w:val="24"/>
        </w:rPr>
        <w:t>es</w:t>
      </w:r>
      <w:r w:rsidRPr="00B73F75">
        <w:rPr>
          <w:sz w:val="24"/>
          <w:szCs w:val="24"/>
        </w:rPr>
        <w:t xml:space="preserve"> not reschedule the appointment</w:t>
      </w:r>
      <w:r w:rsidR="00C7292E" w:rsidRPr="00B73F75">
        <w:rPr>
          <w:sz w:val="24"/>
          <w:szCs w:val="24"/>
        </w:rPr>
        <w:t>.   If client says he/she will not attend the original CE, D</w:t>
      </w:r>
      <w:r w:rsidR="00D13EE2" w:rsidRPr="00B73F75">
        <w:rPr>
          <w:sz w:val="24"/>
          <w:szCs w:val="24"/>
        </w:rPr>
        <w:t>A</w:t>
      </w:r>
      <w:r w:rsidR="00C7292E" w:rsidRPr="00B73F75">
        <w:rPr>
          <w:sz w:val="24"/>
          <w:szCs w:val="24"/>
        </w:rPr>
        <w:t xml:space="preserve"> cancels the CE</w:t>
      </w:r>
      <w:r w:rsidR="00D13EE2" w:rsidRPr="00B73F75">
        <w:rPr>
          <w:sz w:val="24"/>
          <w:szCs w:val="24"/>
        </w:rPr>
        <w:t>.  DR</w:t>
      </w:r>
      <w:r w:rsidR="00C7292E" w:rsidRPr="00B73F75">
        <w:rPr>
          <w:sz w:val="24"/>
          <w:szCs w:val="24"/>
        </w:rPr>
        <w:t xml:space="preserve"> </w:t>
      </w:r>
      <w:r w:rsidR="000B59AB" w:rsidRPr="00B73F75">
        <w:rPr>
          <w:sz w:val="24"/>
          <w:szCs w:val="24"/>
        </w:rPr>
        <w:t>decides</w:t>
      </w:r>
      <w:r w:rsidR="007C2A29" w:rsidRPr="00B73F75">
        <w:rPr>
          <w:sz w:val="24"/>
          <w:szCs w:val="24"/>
        </w:rPr>
        <w:t xml:space="preserve"> case</w:t>
      </w:r>
      <w:r w:rsidR="00C7292E" w:rsidRPr="00B73F75">
        <w:rPr>
          <w:sz w:val="24"/>
          <w:szCs w:val="24"/>
        </w:rPr>
        <w:t xml:space="preserve"> based on available information.  If denial, case is closed and coded “25</w:t>
      </w:r>
      <w:r w:rsidR="00196B57">
        <w:rPr>
          <w:sz w:val="24"/>
          <w:szCs w:val="24"/>
        </w:rPr>
        <w:t>3</w:t>
      </w:r>
      <w:r w:rsidR="00C27BB9">
        <w:rPr>
          <w:sz w:val="24"/>
          <w:szCs w:val="24"/>
        </w:rPr>
        <w:t>.</w:t>
      </w:r>
      <w:r w:rsidR="003F0C52">
        <w:rPr>
          <w:sz w:val="24"/>
          <w:szCs w:val="24"/>
        </w:rPr>
        <w:t>”</w:t>
      </w:r>
    </w:p>
    <w:p w:rsidR="00CE0138" w:rsidRPr="00B73F75" w:rsidRDefault="00CE0138" w:rsidP="00C7292E">
      <w:pPr>
        <w:ind w:left="720"/>
        <w:rPr>
          <w:sz w:val="24"/>
          <w:szCs w:val="24"/>
        </w:rPr>
      </w:pPr>
    </w:p>
    <w:p w:rsidR="00CE0138" w:rsidRPr="00B73F75" w:rsidRDefault="00CE0138" w:rsidP="00CE0138">
      <w:pPr>
        <w:rPr>
          <w:sz w:val="24"/>
          <w:szCs w:val="24"/>
        </w:rPr>
      </w:pPr>
      <w:r w:rsidRPr="00B73F75">
        <w:rPr>
          <w:sz w:val="24"/>
          <w:szCs w:val="24"/>
        </w:rPr>
        <w:tab/>
      </w:r>
    </w:p>
    <w:p w:rsidR="00257D62" w:rsidRPr="00B73F75" w:rsidRDefault="00257D62">
      <w:pPr>
        <w:rPr>
          <w:sz w:val="24"/>
          <w:szCs w:val="24"/>
        </w:rPr>
      </w:pPr>
    </w:p>
    <w:p w:rsidR="00257D62" w:rsidRPr="00B73F75" w:rsidRDefault="00257D62">
      <w:pPr>
        <w:pStyle w:val="Heading1"/>
        <w:numPr>
          <w:ilvl w:val="0"/>
          <w:numId w:val="22"/>
        </w:numPr>
        <w:rPr>
          <w:sz w:val="24"/>
          <w:szCs w:val="24"/>
        </w:rPr>
      </w:pPr>
      <w:r w:rsidRPr="00B73F75">
        <w:rPr>
          <w:sz w:val="24"/>
          <w:szCs w:val="24"/>
        </w:rPr>
        <w:t>Client is a no-show for CE appointment #2:</w:t>
      </w:r>
    </w:p>
    <w:p w:rsidR="00257D62" w:rsidRPr="00B73F75" w:rsidRDefault="00257D62">
      <w:pPr>
        <w:rPr>
          <w:sz w:val="24"/>
          <w:szCs w:val="24"/>
        </w:rPr>
      </w:pPr>
    </w:p>
    <w:p w:rsidR="00257D62" w:rsidRPr="00B73F75" w:rsidRDefault="00257D62">
      <w:pPr>
        <w:numPr>
          <w:ilvl w:val="0"/>
          <w:numId w:val="17"/>
        </w:numPr>
        <w:ind w:left="1080"/>
        <w:rPr>
          <w:sz w:val="24"/>
          <w:szCs w:val="24"/>
        </w:rPr>
      </w:pPr>
      <w:r w:rsidRPr="00B73F75">
        <w:rPr>
          <w:sz w:val="24"/>
          <w:szCs w:val="24"/>
        </w:rPr>
        <w:t xml:space="preserve">Client calls </w:t>
      </w:r>
      <w:r w:rsidRPr="00C27BB9">
        <w:rPr>
          <w:b/>
          <w:sz w:val="24"/>
          <w:szCs w:val="24"/>
        </w:rPr>
        <w:t xml:space="preserve">within </w:t>
      </w:r>
      <w:r w:rsidR="00211132" w:rsidRPr="00C27BB9">
        <w:rPr>
          <w:b/>
          <w:sz w:val="24"/>
          <w:szCs w:val="24"/>
        </w:rPr>
        <w:t>72 hours</w:t>
      </w:r>
      <w:r w:rsidR="00211132" w:rsidRPr="00B73F75">
        <w:rPr>
          <w:sz w:val="24"/>
          <w:szCs w:val="24"/>
        </w:rPr>
        <w:t xml:space="preserve"> </w:t>
      </w:r>
      <w:r w:rsidRPr="00B73F75">
        <w:rPr>
          <w:sz w:val="24"/>
          <w:szCs w:val="24"/>
        </w:rPr>
        <w:t xml:space="preserve">with excuse for no-show and reason meets “strict good cause”: </w:t>
      </w:r>
      <w:r w:rsidR="00FD67DF" w:rsidRPr="00B73F75">
        <w:rPr>
          <w:sz w:val="24"/>
          <w:szCs w:val="24"/>
        </w:rPr>
        <w:t xml:space="preserve"> </w:t>
      </w:r>
      <w:r w:rsidRPr="00B73F75">
        <w:rPr>
          <w:sz w:val="24"/>
          <w:szCs w:val="24"/>
        </w:rPr>
        <w:t>DA read</w:t>
      </w:r>
      <w:r w:rsidR="000B59AB" w:rsidRPr="00B73F75">
        <w:rPr>
          <w:sz w:val="24"/>
          <w:szCs w:val="24"/>
        </w:rPr>
        <w:t>s</w:t>
      </w:r>
      <w:r w:rsidRPr="00B73F75">
        <w:rPr>
          <w:sz w:val="24"/>
          <w:szCs w:val="24"/>
        </w:rPr>
        <w:t xml:space="preserve"> “strict good cause” </w:t>
      </w:r>
      <w:r w:rsidR="005022F3" w:rsidRPr="00B004BF">
        <w:rPr>
          <w:sz w:val="24"/>
          <w:szCs w:val="24"/>
        </w:rPr>
        <w:t>script,</w:t>
      </w:r>
      <w:r w:rsidRPr="00B73F75">
        <w:rPr>
          <w:sz w:val="24"/>
          <w:szCs w:val="24"/>
        </w:rPr>
        <w:t xml:space="preserve"> stating that the appointment will be rescheduled, document</w:t>
      </w:r>
      <w:r w:rsidR="000B59AB" w:rsidRPr="00B73F75">
        <w:rPr>
          <w:sz w:val="24"/>
          <w:szCs w:val="24"/>
        </w:rPr>
        <w:t>s</w:t>
      </w:r>
      <w:r w:rsidRPr="00B73F75">
        <w:rPr>
          <w:sz w:val="24"/>
          <w:szCs w:val="24"/>
        </w:rPr>
        <w:t xml:space="preserve"> the client’s specific reason for not attending the CE in the progress note and reschedule</w:t>
      </w:r>
      <w:r w:rsidR="000B59AB" w:rsidRPr="00B73F75">
        <w:rPr>
          <w:sz w:val="24"/>
          <w:szCs w:val="24"/>
        </w:rPr>
        <w:t>s</w:t>
      </w:r>
      <w:r w:rsidRPr="00B73F75">
        <w:rPr>
          <w:sz w:val="24"/>
          <w:szCs w:val="24"/>
        </w:rPr>
        <w:t xml:space="preserve"> the appointment. </w:t>
      </w:r>
      <w:r w:rsidR="00C7292E" w:rsidRPr="00B73F75">
        <w:rPr>
          <w:sz w:val="24"/>
          <w:szCs w:val="24"/>
        </w:rPr>
        <w:t xml:space="preserve"> </w:t>
      </w:r>
      <w:r w:rsidRPr="00B73F75">
        <w:rPr>
          <w:sz w:val="24"/>
          <w:szCs w:val="24"/>
        </w:rPr>
        <w:t>DES may require documentation related to the good cause event.</w:t>
      </w:r>
    </w:p>
    <w:p w:rsidR="00257D62" w:rsidRPr="00B73F75" w:rsidRDefault="00257D62">
      <w:pPr>
        <w:numPr>
          <w:ilvl w:val="0"/>
          <w:numId w:val="18"/>
        </w:numPr>
        <w:ind w:left="1080"/>
        <w:rPr>
          <w:sz w:val="24"/>
          <w:szCs w:val="24"/>
        </w:rPr>
      </w:pPr>
      <w:r w:rsidRPr="00B73F75">
        <w:rPr>
          <w:sz w:val="24"/>
          <w:szCs w:val="24"/>
        </w:rPr>
        <w:t xml:space="preserve">Client calls within </w:t>
      </w:r>
      <w:r w:rsidR="005025E4">
        <w:rPr>
          <w:sz w:val="24"/>
          <w:szCs w:val="24"/>
        </w:rPr>
        <w:t>72 hours</w:t>
      </w:r>
      <w:r w:rsidRPr="00B73F75">
        <w:rPr>
          <w:sz w:val="24"/>
          <w:szCs w:val="24"/>
        </w:rPr>
        <w:t xml:space="preserve"> with excuse for no-show and reason does not meet “strict good cause”: </w:t>
      </w:r>
      <w:r w:rsidR="00FD67DF" w:rsidRPr="00B73F75">
        <w:rPr>
          <w:sz w:val="24"/>
          <w:szCs w:val="24"/>
        </w:rPr>
        <w:t xml:space="preserve"> DA </w:t>
      </w:r>
      <w:r w:rsidRPr="00B73F75">
        <w:rPr>
          <w:sz w:val="24"/>
          <w:szCs w:val="24"/>
        </w:rPr>
        <w:t>document</w:t>
      </w:r>
      <w:r w:rsidR="00FD67DF" w:rsidRPr="00B73F75">
        <w:rPr>
          <w:sz w:val="24"/>
          <w:szCs w:val="24"/>
        </w:rPr>
        <w:t>s</w:t>
      </w:r>
      <w:r w:rsidRPr="00B73F75">
        <w:rPr>
          <w:sz w:val="24"/>
          <w:szCs w:val="24"/>
        </w:rPr>
        <w:t xml:space="preserve"> client’s specific reason for not attending the </w:t>
      </w:r>
      <w:r w:rsidR="00607A77" w:rsidRPr="00B73F75">
        <w:rPr>
          <w:sz w:val="24"/>
          <w:szCs w:val="24"/>
        </w:rPr>
        <w:t>CE in</w:t>
      </w:r>
      <w:r w:rsidRPr="00B73F75">
        <w:rPr>
          <w:sz w:val="24"/>
          <w:szCs w:val="24"/>
        </w:rPr>
        <w:t xml:space="preserve"> the progress note; </w:t>
      </w:r>
      <w:r w:rsidR="00C7292E" w:rsidRPr="00B73F75">
        <w:rPr>
          <w:sz w:val="24"/>
          <w:szCs w:val="24"/>
        </w:rPr>
        <w:t xml:space="preserve">and </w:t>
      </w:r>
      <w:r w:rsidRPr="00B73F75">
        <w:rPr>
          <w:sz w:val="24"/>
          <w:szCs w:val="24"/>
        </w:rPr>
        <w:t>do</w:t>
      </w:r>
      <w:r w:rsidR="00C7292E" w:rsidRPr="00B73F75">
        <w:rPr>
          <w:sz w:val="24"/>
          <w:szCs w:val="24"/>
        </w:rPr>
        <w:t>es</w:t>
      </w:r>
      <w:r w:rsidRPr="00B73F75">
        <w:rPr>
          <w:sz w:val="24"/>
          <w:szCs w:val="24"/>
        </w:rPr>
        <w:t xml:space="preserve"> not reschedule</w:t>
      </w:r>
      <w:r w:rsidR="000B59AB" w:rsidRPr="00B73F75">
        <w:rPr>
          <w:sz w:val="24"/>
          <w:szCs w:val="24"/>
        </w:rPr>
        <w:t xml:space="preserve"> the appointment.   </w:t>
      </w:r>
      <w:r w:rsidRPr="00B73F75">
        <w:rPr>
          <w:sz w:val="24"/>
          <w:szCs w:val="24"/>
        </w:rPr>
        <w:t xml:space="preserve"> </w:t>
      </w:r>
      <w:r w:rsidR="00FD67DF" w:rsidRPr="00B73F75">
        <w:rPr>
          <w:sz w:val="24"/>
          <w:szCs w:val="24"/>
        </w:rPr>
        <w:t xml:space="preserve">DR </w:t>
      </w:r>
      <w:r w:rsidR="00AC62DB" w:rsidRPr="00B73F75">
        <w:rPr>
          <w:sz w:val="24"/>
          <w:szCs w:val="24"/>
        </w:rPr>
        <w:t>decides based</w:t>
      </w:r>
      <w:r w:rsidR="00FD67DF" w:rsidRPr="00B73F75">
        <w:rPr>
          <w:sz w:val="24"/>
          <w:szCs w:val="24"/>
        </w:rPr>
        <w:t xml:space="preserve"> on available information.  If denial, DR </w:t>
      </w:r>
      <w:r w:rsidRPr="00B73F75">
        <w:rPr>
          <w:sz w:val="24"/>
          <w:szCs w:val="24"/>
        </w:rPr>
        <w:t>close</w:t>
      </w:r>
      <w:r w:rsidR="00FD67DF" w:rsidRPr="00B73F75">
        <w:rPr>
          <w:sz w:val="24"/>
          <w:szCs w:val="24"/>
        </w:rPr>
        <w:t>s case</w:t>
      </w:r>
      <w:r w:rsidRPr="00B73F75">
        <w:rPr>
          <w:sz w:val="24"/>
          <w:szCs w:val="24"/>
        </w:rPr>
        <w:t xml:space="preserve"> </w:t>
      </w:r>
      <w:r w:rsidR="000B078C" w:rsidRPr="00B73F75">
        <w:rPr>
          <w:sz w:val="24"/>
          <w:szCs w:val="24"/>
        </w:rPr>
        <w:t xml:space="preserve">coded </w:t>
      </w:r>
      <w:r w:rsidRPr="00B73F75">
        <w:rPr>
          <w:sz w:val="24"/>
          <w:szCs w:val="24"/>
        </w:rPr>
        <w:t xml:space="preserve">as </w:t>
      </w:r>
      <w:r w:rsidR="000B078C" w:rsidRPr="00B73F75">
        <w:rPr>
          <w:sz w:val="24"/>
          <w:szCs w:val="24"/>
        </w:rPr>
        <w:t>“</w:t>
      </w:r>
      <w:r w:rsidRPr="00B73F75">
        <w:rPr>
          <w:sz w:val="24"/>
          <w:szCs w:val="24"/>
        </w:rPr>
        <w:t>25</w:t>
      </w:r>
      <w:r w:rsidR="00B24746">
        <w:rPr>
          <w:sz w:val="24"/>
          <w:szCs w:val="24"/>
        </w:rPr>
        <w:t>3</w:t>
      </w:r>
      <w:r w:rsidR="000B078C" w:rsidRPr="00B73F75">
        <w:rPr>
          <w:sz w:val="24"/>
          <w:szCs w:val="24"/>
        </w:rPr>
        <w:t>”.</w:t>
      </w:r>
    </w:p>
    <w:p w:rsidR="00257D62" w:rsidRPr="00B73F75" w:rsidRDefault="00257D62">
      <w:pPr>
        <w:pStyle w:val="Heading2"/>
        <w:numPr>
          <w:ilvl w:val="0"/>
          <w:numId w:val="19"/>
        </w:numPr>
        <w:tabs>
          <w:tab w:val="clear" w:pos="360"/>
          <w:tab w:val="num" w:pos="1080"/>
        </w:tabs>
        <w:ind w:left="1080"/>
        <w:rPr>
          <w:b w:val="0"/>
          <w:sz w:val="24"/>
          <w:szCs w:val="24"/>
        </w:rPr>
      </w:pPr>
      <w:r w:rsidRPr="00B73F75">
        <w:rPr>
          <w:b w:val="0"/>
          <w:sz w:val="24"/>
          <w:szCs w:val="24"/>
        </w:rPr>
        <w:t>Client does not call</w:t>
      </w:r>
      <w:r w:rsidR="00FD67DF" w:rsidRPr="00B73F75">
        <w:rPr>
          <w:b w:val="0"/>
          <w:sz w:val="24"/>
          <w:szCs w:val="24"/>
        </w:rPr>
        <w:t>:</w:t>
      </w:r>
      <w:r w:rsidRPr="00B73F75">
        <w:rPr>
          <w:b w:val="0"/>
          <w:sz w:val="24"/>
          <w:szCs w:val="24"/>
        </w:rPr>
        <w:t xml:space="preserve"> </w:t>
      </w:r>
      <w:r w:rsidR="00FB3C29" w:rsidRPr="00B73F75">
        <w:rPr>
          <w:b w:val="0"/>
          <w:sz w:val="24"/>
          <w:szCs w:val="24"/>
        </w:rPr>
        <w:t>–</w:t>
      </w:r>
      <w:r w:rsidRPr="00B73F75">
        <w:rPr>
          <w:b w:val="0"/>
          <w:sz w:val="24"/>
          <w:szCs w:val="24"/>
        </w:rPr>
        <w:t xml:space="preserve"> </w:t>
      </w:r>
      <w:r w:rsidR="00FB3C29" w:rsidRPr="00B73F75">
        <w:rPr>
          <w:b w:val="0"/>
          <w:sz w:val="24"/>
          <w:szCs w:val="24"/>
        </w:rPr>
        <w:t xml:space="preserve">DR decides </w:t>
      </w:r>
      <w:r w:rsidR="007C2A29" w:rsidRPr="00B73F75">
        <w:rPr>
          <w:b w:val="0"/>
          <w:sz w:val="24"/>
          <w:szCs w:val="24"/>
        </w:rPr>
        <w:t xml:space="preserve">case </w:t>
      </w:r>
      <w:r w:rsidR="00FB3C29" w:rsidRPr="00B73F75">
        <w:rPr>
          <w:b w:val="0"/>
          <w:sz w:val="24"/>
          <w:szCs w:val="24"/>
        </w:rPr>
        <w:t xml:space="preserve">based on available information.  If denial, DR </w:t>
      </w:r>
      <w:r w:rsidRPr="00B73F75">
        <w:rPr>
          <w:b w:val="0"/>
          <w:sz w:val="24"/>
          <w:szCs w:val="24"/>
        </w:rPr>
        <w:t>close</w:t>
      </w:r>
      <w:r w:rsidR="00FB3C29" w:rsidRPr="00B73F75">
        <w:rPr>
          <w:b w:val="0"/>
          <w:sz w:val="24"/>
          <w:szCs w:val="24"/>
        </w:rPr>
        <w:t>s case</w:t>
      </w:r>
      <w:r w:rsidRPr="00B73F75">
        <w:rPr>
          <w:b w:val="0"/>
          <w:sz w:val="24"/>
          <w:szCs w:val="24"/>
        </w:rPr>
        <w:t xml:space="preserve"> </w:t>
      </w:r>
      <w:r w:rsidR="000B078C" w:rsidRPr="00B73F75">
        <w:rPr>
          <w:b w:val="0"/>
          <w:sz w:val="24"/>
          <w:szCs w:val="24"/>
        </w:rPr>
        <w:t xml:space="preserve">coded </w:t>
      </w:r>
      <w:r w:rsidRPr="00B73F75">
        <w:rPr>
          <w:b w:val="0"/>
          <w:sz w:val="24"/>
          <w:szCs w:val="24"/>
        </w:rPr>
        <w:t xml:space="preserve">as </w:t>
      </w:r>
      <w:r w:rsidR="000B078C" w:rsidRPr="00B73F75">
        <w:rPr>
          <w:b w:val="0"/>
          <w:sz w:val="24"/>
          <w:szCs w:val="24"/>
        </w:rPr>
        <w:t>“</w:t>
      </w:r>
      <w:r w:rsidRPr="00B73F75">
        <w:rPr>
          <w:b w:val="0"/>
          <w:sz w:val="24"/>
          <w:szCs w:val="24"/>
        </w:rPr>
        <w:t>252</w:t>
      </w:r>
      <w:r w:rsidR="000B078C" w:rsidRPr="00B73F75">
        <w:rPr>
          <w:b w:val="0"/>
          <w:sz w:val="24"/>
          <w:szCs w:val="24"/>
        </w:rPr>
        <w:t>”</w:t>
      </w:r>
      <w:r w:rsidRPr="00B73F75">
        <w:rPr>
          <w:b w:val="0"/>
          <w:sz w:val="24"/>
          <w:szCs w:val="24"/>
        </w:rPr>
        <w:t xml:space="preserve"> after </w:t>
      </w:r>
      <w:r w:rsidR="008F4265">
        <w:rPr>
          <w:b w:val="0"/>
          <w:sz w:val="24"/>
          <w:szCs w:val="24"/>
        </w:rPr>
        <w:t>72 hours</w:t>
      </w:r>
      <w:r w:rsidRPr="00B73F75">
        <w:rPr>
          <w:b w:val="0"/>
          <w:sz w:val="24"/>
          <w:szCs w:val="24"/>
        </w:rPr>
        <w:t xml:space="preserve">.  </w:t>
      </w:r>
    </w:p>
    <w:p w:rsidR="0017152B" w:rsidRPr="00B73F75" w:rsidRDefault="0017152B" w:rsidP="0017152B">
      <w:pPr>
        <w:rPr>
          <w:sz w:val="24"/>
          <w:szCs w:val="24"/>
        </w:rPr>
      </w:pPr>
    </w:p>
    <w:p w:rsidR="004945BE" w:rsidRPr="00B73F75" w:rsidRDefault="00C45938" w:rsidP="004945BE">
      <w:pPr>
        <w:pStyle w:val="FootnoteText"/>
        <w:rPr>
          <w:sz w:val="24"/>
          <w:szCs w:val="24"/>
        </w:rPr>
      </w:pPr>
      <w:r w:rsidRPr="00B73F75">
        <w:rPr>
          <w:sz w:val="24"/>
          <w:szCs w:val="24"/>
        </w:rPr>
        <w:t>DAs</w:t>
      </w:r>
      <w:r w:rsidR="0017152B" w:rsidRPr="00B73F75">
        <w:rPr>
          <w:sz w:val="24"/>
          <w:szCs w:val="24"/>
        </w:rPr>
        <w:t xml:space="preserve"> </w:t>
      </w:r>
      <w:r w:rsidR="004945BE" w:rsidRPr="00B73F75">
        <w:rPr>
          <w:sz w:val="24"/>
          <w:szCs w:val="24"/>
        </w:rPr>
        <w:t>may accept</w:t>
      </w:r>
      <w:r w:rsidR="00152503">
        <w:rPr>
          <w:sz w:val="24"/>
          <w:szCs w:val="24"/>
        </w:rPr>
        <w:t xml:space="preserve"> </w:t>
      </w:r>
      <w:r w:rsidR="0017152B" w:rsidRPr="00B73F75">
        <w:rPr>
          <w:sz w:val="24"/>
          <w:szCs w:val="24"/>
        </w:rPr>
        <w:t>one instance of ‘loo</w:t>
      </w:r>
      <w:r w:rsidR="004945BE" w:rsidRPr="00B73F75">
        <w:rPr>
          <w:sz w:val="24"/>
          <w:szCs w:val="24"/>
        </w:rPr>
        <w:t xml:space="preserve">se good cause’ and one instance, if listed, </w:t>
      </w:r>
      <w:r w:rsidR="0017152B" w:rsidRPr="00B73F75">
        <w:rPr>
          <w:sz w:val="24"/>
          <w:szCs w:val="24"/>
        </w:rPr>
        <w:t>of</w:t>
      </w:r>
      <w:r w:rsidR="009D4055" w:rsidRPr="00B73F75">
        <w:rPr>
          <w:sz w:val="24"/>
          <w:szCs w:val="24"/>
        </w:rPr>
        <w:t xml:space="preserve"> ‘strict good cause’ </w:t>
      </w:r>
      <w:r w:rsidR="0017152B" w:rsidRPr="00B73F75">
        <w:rPr>
          <w:sz w:val="24"/>
          <w:szCs w:val="24"/>
        </w:rPr>
        <w:t>per episode.  If a client calls to reschedule an appointment a third (or more) times</w:t>
      </w:r>
      <w:r w:rsidRPr="00B73F75">
        <w:rPr>
          <w:sz w:val="24"/>
          <w:szCs w:val="24"/>
        </w:rPr>
        <w:t xml:space="preserve"> in a single episode (irrespective of the identity or type of provider)</w:t>
      </w:r>
      <w:r w:rsidR="0017152B" w:rsidRPr="00B73F75">
        <w:rPr>
          <w:sz w:val="24"/>
          <w:szCs w:val="24"/>
        </w:rPr>
        <w:t xml:space="preserve">, they must consult with an Administrative Manager </w:t>
      </w:r>
      <w:r w:rsidR="00BA015C" w:rsidRPr="00B73F75">
        <w:rPr>
          <w:sz w:val="24"/>
          <w:szCs w:val="24"/>
        </w:rPr>
        <w:t xml:space="preserve">or the Clinical Manager </w:t>
      </w:r>
      <w:r w:rsidR="0017152B" w:rsidRPr="00B73F75">
        <w:rPr>
          <w:sz w:val="24"/>
          <w:szCs w:val="24"/>
        </w:rPr>
        <w:t>before rescheduling an appointment.</w:t>
      </w:r>
    </w:p>
    <w:p w:rsidR="00257D62" w:rsidRPr="00B73F75" w:rsidRDefault="00257D62">
      <w:pPr>
        <w:rPr>
          <w:sz w:val="24"/>
          <w:szCs w:val="24"/>
        </w:rPr>
      </w:pPr>
    </w:p>
    <w:p w:rsidR="00257D62" w:rsidRPr="00B73F75" w:rsidRDefault="00257D62" w:rsidP="00F437DC">
      <w:pPr>
        <w:rPr>
          <w:sz w:val="24"/>
          <w:szCs w:val="24"/>
        </w:rPr>
      </w:pPr>
      <w:r w:rsidRPr="00B73F75">
        <w:rPr>
          <w:sz w:val="24"/>
          <w:szCs w:val="24"/>
        </w:rPr>
        <w:t xml:space="preserve">Any other situations involving a potential rescheduling of a CE must </w:t>
      </w:r>
      <w:r w:rsidR="009D4055" w:rsidRPr="00B73F75">
        <w:rPr>
          <w:sz w:val="24"/>
          <w:szCs w:val="24"/>
        </w:rPr>
        <w:t xml:space="preserve">also </w:t>
      </w:r>
      <w:r w:rsidRPr="00B73F75">
        <w:rPr>
          <w:sz w:val="24"/>
          <w:szCs w:val="24"/>
        </w:rPr>
        <w:t xml:space="preserve">be discussed with the </w:t>
      </w:r>
      <w:r w:rsidR="009322EB" w:rsidRPr="00B73F75">
        <w:rPr>
          <w:sz w:val="24"/>
          <w:szCs w:val="24"/>
        </w:rPr>
        <w:t xml:space="preserve">Clinical Manager or </w:t>
      </w:r>
      <w:r w:rsidR="009D4055" w:rsidRPr="00B73F75">
        <w:rPr>
          <w:sz w:val="24"/>
          <w:szCs w:val="24"/>
        </w:rPr>
        <w:t xml:space="preserve">an </w:t>
      </w:r>
      <w:r w:rsidR="002B7354" w:rsidRPr="00B73F75">
        <w:rPr>
          <w:sz w:val="24"/>
          <w:szCs w:val="24"/>
        </w:rPr>
        <w:t xml:space="preserve">Administrative </w:t>
      </w:r>
      <w:r w:rsidR="00BA015C" w:rsidRPr="00B73F75">
        <w:rPr>
          <w:sz w:val="24"/>
          <w:szCs w:val="24"/>
        </w:rPr>
        <w:t>Manager</w:t>
      </w:r>
      <w:r w:rsidRPr="00B73F75">
        <w:rPr>
          <w:sz w:val="24"/>
          <w:szCs w:val="24"/>
        </w:rPr>
        <w:t xml:space="preserve">.  The </w:t>
      </w:r>
      <w:r w:rsidR="009322EB" w:rsidRPr="00B73F75">
        <w:rPr>
          <w:sz w:val="24"/>
          <w:szCs w:val="24"/>
        </w:rPr>
        <w:t xml:space="preserve">Clinical </w:t>
      </w:r>
      <w:r w:rsidRPr="00B73F75">
        <w:rPr>
          <w:sz w:val="24"/>
          <w:szCs w:val="24"/>
        </w:rPr>
        <w:t>Manager</w:t>
      </w:r>
      <w:r w:rsidR="002B7354" w:rsidRPr="00B73F75">
        <w:rPr>
          <w:sz w:val="24"/>
          <w:szCs w:val="24"/>
        </w:rPr>
        <w:t xml:space="preserve"> or Administrative </w:t>
      </w:r>
      <w:r w:rsidR="00BF2070" w:rsidRPr="00B73F75">
        <w:rPr>
          <w:sz w:val="24"/>
          <w:szCs w:val="24"/>
        </w:rPr>
        <w:t xml:space="preserve">Manager </w:t>
      </w:r>
      <w:r w:rsidRPr="00B73F75">
        <w:rPr>
          <w:sz w:val="24"/>
          <w:szCs w:val="24"/>
        </w:rPr>
        <w:t>review</w:t>
      </w:r>
      <w:r w:rsidR="000B59AB" w:rsidRPr="00B73F75">
        <w:rPr>
          <w:sz w:val="24"/>
          <w:szCs w:val="24"/>
        </w:rPr>
        <w:t>s</w:t>
      </w:r>
      <w:r w:rsidRPr="00B73F75">
        <w:rPr>
          <w:sz w:val="24"/>
          <w:szCs w:val="24"/>
        </w:rPr>
        <w:t xml:space="preserve"> the case and the CE </w:t>
      </w:r>
      <w:r w:rsidR="000B078C" w:rsidRPr="00B73F75">
        <w:rPr>
          <w:sz w:val="24"/>
          <w:szCs w:val="24"/>
        </w:rPr>
        <w:t xml:space="preserve">appointment </w:t>
      </w:r>
      <w:r w:rsidRPr="00B73F75">
        <w:rPr>
          <w:sz w:val="24"/>
          <w:szCs w:val="24"/>
        </w:rPr>
        <w:t>history, as needed prior to re-scheduling the CE or making the determination with available information.</w:t>
      </w:r>
      <w:r w:rsidR="00134FE4">
        <w:rPr>
          <w:sz w:val="24"/>
          <w:szCs w:val="24"/>
        </w:rPr>
        <w:t xml:space="preserve">  If the DR in reviewing the case, </w:t>
      </w:r>
      <w:r w:rsidR="0090156F">
        <w:rPr>
          <w:sz w:val="24"/>
          <w:szCs w:val="24"/>
        </w:rPr>
        <w:t xml:space="preserve">considers it appropriate </w:t>
      </w:r>
      <w:r w:rsidR="00F21AE0">
        <w:rPr>
          <w:sz w:val="24"/>
          <w:szCs w:val="24"/>
        </w:rPr>
        <w:t xml:space="preserve">to </w:t>
      </w:r>
      <w:r w:rsidR="00592A78">
        <w:rPr>
          <w:sz w:val="24"/>
          <w:szCs w:val="24"/>
        </w:rPr>
        <w:t>reschedule</w:t>
      </w:r>
      <w:r w:rsidR="00F21AE0">
        <w:rPr>
          <w:sz w:val="24"/>
          <w:szCs w:val="24"/>
        </w:rPr>
        <w:t xml:space="preserve"> an</w:t>
      </w:r>
      <w:r w:rsidR="0090156F">
        <w:rPr>
          <w:sz w:val="24"/>
          <w:szCs w:val="24"/>
        </w:rPr>
        <w:t xml:space="preserve"> appointment that has been </w:t>
      </w:r>
      <w:r w:rsidR="00F21AE0">
        <w:rPr>
          <w:sz w:val="24"/>
          <w:szCs w:val="24"/>
        </w:rPr>
        <w:t>denied, they consult with a Program Manager who, in turn, may reconsider the question with the Clinical Manager</w:t>
      </w:r>
      <w:r w:rsidR="004822E4">
        <w:rPr>
          <w:sz w:val="24"/>
          <w:szCs w:val="24"/>
        </w:rPr>
        <w:t xml:space="preserve"> or an Administrative Manager</w:t>
      </w:r>
      <w:r w:rsidR="00F21AE0">
        <w:rPr>
          <w:sz w:val="24"/>
          <w:szCs w:val="24"/>
        </w:rPr>
        <w:t>.</w:t>
      </w:r>
    </w:p>
    <w:p w:rsidR="00257D62" w:rsidRPr="00B73F75" w:rsidRDefault="00257D62">
      <w:pPr>
        <w:rPr>
          <w:sz w:val="24"/>
          <w:szCs w:val="24"/>
        </w:rPr>
      </w:pPr>
    </w:p>
    <w:p w:rsidR="00257D62" w:rsidRPr="00B73F75" w:rsidRDefault="000B078C" w:rsidP="001F0358">
      <w:pPr>
        <w:pStyle w:val="ListContinue"/>
        <w:tabs>
          <w:tab w:val="left" w:leader="underscore" w:pos="8730"/>
          <w:tab w:val="left" w:leader="underscore" w:pos="9360"/>
        </w:tabs>
        <w:ind w:left="0" w:right="-90" w:hanging="1620"/>
        <w:rPr>
          <w:sz w:val="24"/>
          <w:szCs w:val="24"/>
        </w:rPr>
      </w:pPr>
      <w:r w:rsidRPr="00B73F75">
        <w:rPr>
          <w:b/>
          <w:sz w:val="24"/>
          <w:szCs w:val="24"/>
        </w:rPr>
        <w:t>Summary:</w:t>
      </w:r>
      <w:r w:rsidRPr="00B73F75">
        <w:rPr>
          <w:b/>
          <w:sz w:val="24"/>
          <w:szCs w:val="24"/>
        </w:rPr>
        <w:tab/>
      </w:r>
      <w:r w:rsidR="00257D62" w:rsidRPr="00B73F75">
        <w:rPr>
          <w:sz w:val="24"/>
          <w:szCs w:val="24"/>
        </w:rPr>
        <w:t xml:space="preserve">It is important that DES consistently adheres to established guidelines for rescheduling CE’s.  </w:t>
      </w:r>
      <w:r w:rsidR="004822E4" w:rsidRPr="00B73F75">
        <w:rPr>
          <w:sz w:val="24"/>
          <w:szCs w:val="24"/>
        </w:rPr>
        <w:t>Clients,</w:t>
      </w:r>
      <w:r w:rsidR="00AC62DB" w:rsidRPr="00B73F75">
        <w:rPr>
          <w:sz w:val="24"/>
          <w:szCs w:val="24"/>
        </w:rPr>
        <w:t xml:space="preserve"> </w:t>
      </w:r>
      <w:r w:rsidR="00257D62" w:rsidRPr="00B73F75">
        <w:rPr>
          <w:sz w:val="24"/>
          <w:szCs w:val="24"/>
        </w:rPr>
        <w:t xml:space="preserve">who make an attempt to cooperate, as evidenced by the client’s call to DES about an initial appointment, will be afforded an opportunity to reschedule the CE appointment once </w:t>
      </w:r>
      <w:r w:rsidR="00B24746">
        <w:rPr>
          <w:sz w:val="24"/>
          <w:szCs w:val="24"/>
        </w:rPr>
        <w:t xml:space="preserve">each episode </w:t>
      </w:r>
      <w:r w:rsidR="00257D62" w:rsidRPr="00B73F75">
        <w:rPr>
          <w:sz w:val="24"/>
          <w:szCs w:val="24"/>
        </w:rPr>
        <w:t xml:space="preserve">with “loose good cause” factors.  Any subsequent request for rescheduling must be for acceptable “strict good cause” reasons.  There is no limit on the number of “strict good cause” reschedules granted to a client.  DES staff must document clients’ specific reasons for not attending CE’s in the progress notes and may require documentation related to strict good cause events.  </w:t>
      </w:r>
      <w:r w:rsidR="003A673F" w:rsidRPr="00B73F75">
        <w:rPr>
          <w:sz w:val="24"/>
          <w:szCs w:val="24"/>
        </w:rPr>
        <w:t xml:space="preserve">The </w:t>
      </w:r>
      <w:r w:rsidR="00BA015C" w:rsidRPr="00B73F75">
        <w:rPr>
          <w:sz w:val="24"/>
          <w:szCs w:val="24"/>
        </w:rPr>
        <w:t>Clinical Manager</w:t>
      </w:r>
      <w:r w:rsidR="003A673F" w:rsidRPr="00B73F75">
        <w:rPr>
          <w:sz w:val="24"/>
          <w:szCs w:val="24"/>
        </w:rPr>
        <w:t xml:space="preserve"> and/or </w:t>
      </w:r>
      <w:r w:rsidR="00BF2070" w:rsidRPr="00B73F75">
        <w:rPr>
          <w:sz w:val="24"/>
          <w:szCs w:val="24"/>
        </w:rPr>
        <w:t>Administrativ</w:t>
      </w:r>
      <w:r w:rsidR="00BA015C" w:rsidRPr="00B73F75">
        <w:rPr>
          <w:sz w:val="24"/>
          <w:szCs w:val="24"/>
        </w:rPr>
        <w:t>e Manager</w:t>
      </w:r>
      <w:r w:rsidR="00257D62" w:rsidRPr="00B73F75">
        <w:rPr>
          <w:sz w:val="24"/>
          <w:szCs w:val="24"/>
        </w:rPr>
        <w:t xml:space="preserve"> will review unusual situations involving potential rescheduling of CE’s.</w:t>
      </w:r>
    </w:p>
    <w:p w:rsidR="00257D62" w:rsidRPr="00B73F75" w:rsidRDefault="00257D62">
      <w:pPr>
        <w:pStyle w:val="ListContinue"/>
        <w:tabs>
          <w:tab w:val="left" w:leader="underscore" w:pos="8730"/>
          <w:tab w:val="left" w:leader="underscore" w:pos="9360"/>
        </w:tabs>
        <w:ind w:left="0" w:right="-90"/>
        <w:rPr>
          <w:sz w:val="24"/>
          <w:szCs w:val="24"/>
        </w:rPr>
      </w:pPr>
      <w:r w:rsidRPr="00B73F75">
        <w:rPr>
          <w:sz w:val="24"/>
          <w:szCs w:val="24"/>
        </w:rPr>
        <w:t xml:space="preserve">Clients who are </w:t>
      </w:r>
      <w:r w:rsidR="00885F12" w:rsidRPr="00B73F75">
        <w:rPr>
          <w:sz w:val="24"/>
          <w:szCs w:val="24"/>
        </w:rPr>
        <w:t>“</w:t>
      </w:r>
      <w:r w:rsidRPr="00B73F75">
        <w:rPr>
          <w:sz w:val="24"/>
          <w:szCs w:val="24"/>
        </w:rPr>
        <w:t xml:space="preserve">no-show” for a CE appointment and who make no attempt to contact DES will not be rescheduled.  </w:t>
      </w:r>
      <w:r w:rsidR="00D1387C">
        <w:rPr>
          <w:sz w:val="24"/>
          <w:szCs w:val="24"/>
        </w:rPr>
        <w:t>T</w:t>
      </w:r>
      <w:r w:rsidRPr="00B73F75">
        <w:rPr>
          <w:sz w:val="24"/>
          <w:szCs w:val="24"/>
        </w:rPr>
        <w:t>he case will be closed</w:t>
      </w:r>
      <w:r w:rsidR="000B078C" w:rsidRPr="00B73F75">
        <w:rPr>
          <w:sz w:val="24"/>
          <w:szCs w:val="24"/>
        </w:rPr>
        <w:t xml:space="preserve"> for f</w:t>
      </w:r>
      <w:r w:rsidRPr="00B73F75">
        <w:rPr>
          <w:sz w:val="24"/>
          <w:szCs w:val="24"/>
        </w:rPr>
        <w:t>ailure to attend a CE.</w:t>
      </w:r>
    </w:p>
    <w:sectPr w:rsidR="00257D62" w:rsidRPr="00B73F75" w:rsidSect="00352798">
      <w:footerReference w:type="default" r:id="rId8"/>
      <w:pgSz w:w="12240" w:h="15840" w:code="1"/>
      <w:pgMar w:top="720" w:right="1080" w:bottom="720" w:left="1008" w:header="720" w:footer="720" w:gutter="108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86" w:rsidRDefault="00323186">
      <w:r>
        <w:separator/>
      </w:r>
    </w:p>
  </w:endnote>
  <w:endnote w:type="continuationSeparator" w:id="0">
    <w:p w:rsidR="00323186" w:rsidRDefault="00323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86" w:rsidRDefault="00323186" w:rsidP="000F0BD9">
    <w:pPr>
      <w:rPr>
        <w:rStyle w:val="PageNumber"/>
        <w:i/>
        <w:snapToGrid w:val="0"/>
      </w:rPr>
    </w:pPr>
  </w:p>
  <w:p w:rsidR="00323186" w:rsidRDefault="00323186" w:rsidP="000F0BD9">
    <w:pPr>
      <w:rPr>
        <w:rStyle w:val="PageNumber"/>
        <w:i/>
        <w:snapToGrid w:val="0"/>
      </w:rPr>
    </w:pPr>
  </w:p>
  <w:p w:rsidR="00323186" w:rsidRDefault="00323186" w:rsidP="000F0BD9">
    <w:pPr>
      <w:rPr>
        <w:rStyle w:val="PageNumber"/>
        <w:i/>
        <w:snapToGrid w:val="0"/>
      </w:rPr>
    </w:pPr>
  </w:p>
  <w:p w:rsidR="00323186" w:rsidRPr="00607A77" w:rsidRDefault="00323186" w:rsidP="000F0BD9">
    <w:pPr>
      <w:rPr>
        <w:rStyle w:val="PageNumber"/>
        <w:i/>
        <w:snapToGrid w:val="0"/>
      </w:rPr>
    </w:pPr>
    <w:r w:rsidRPr="00607A77">
      <w:rPr>
        <w:rStyle w:val="PageNumber"/>
        <w:i/>
        <w:snapToGrid w:val="0"/>
      </w:rPr>
      <w:t>Revision #</w:t>
    </w:r>
    <w:r>
      <w:rPr>
        <w:rStyle w:val="PageNumber"/>
        <w:i/>
        <w:snapToGrid w:val="0"/>
      </w:rPr>
      <w:t>3</w:t>
    </w:r>
    <w:r w:rsidRPr="00607A77">
      <w:rPr>
        <w:rStyle w:val="PageNumber"/>
        <w:i/>
        <w:snapToGrid w:val="0"/>
      </w:rPr>
      <w:t>.  Supersedes PS 98-</w:t>
    </w:r>
    <w:r>
      <w:rPr>
        <w:rStyle w:val="PageNumber"/>
        <w:i/>
        <w:snapToGrid w:val="0"/>
      </w:rPr>
      <w:t>5</w:t>
    </w:r>
    <w:r w:rsidRPr="00607A77">
      <w:t xml:space="preserve"> </w:t>
    </w:r>
    <w:r w:rsidRPr="00607A77">
      <w:rPr>
        <w:i/>
      </w:rPr>
      <w:t xml:space="preserve">“Use of </w:t>
    </w:r>
    <w:r>
      <w:rPr>
        <w:i/>
      </w:rPr>
      <w:t>“G</w:t>
    </w:r>
    <w:r w:rsidRPr="00607A77">
      <w:rPr>
        <w:i/>
      </w:rPr>
      <w:t xml:space="preserve">ood </w:t>
    </w:r>
    <w:r>
      <w:rPr>
        <w:i/>
      </w:rPr>
      <w:t>C</w:t>
    </w:r>
    <w:r w:rsidRPr="00607A77">
      <w:rPr>
        <w:i/>
      </w:rPr>
      <w:t>aus</w:t>
    </w:r>
    <w:r>
      <w:rPr>
        <w:i/>
      </w:rPr>
      <w:t>e”</w:t>
    </w:r>
    <w:r w:rsidRPr="00607A77">
      <w:rPr>
        <w:i/>
      </w:rPr>
      <w:t xml:space="preserve"> related to</w:t>
    </w:r>
    <w:r>
      <w:rPr>
        <w:i/>
      </w:rPr>
      <w:t xml:space="preserve"> </w:t>
    </w:r>
    <w:r w:rsidRPr="00607A77">
      <w:rPr>
        <w:i/>
      </w:rPr>
      <w:t xml:space="preserve">CE appointments for No-show and/or applicant’s request to reschedule appointment” </w:t>
    </w:r>
    <w:r w:rsidRPr="00607A77">
      <w:rPr>
        <w:rStyle w:val="PageNumber"/>
        <w:i/>
        <w:snapToGrid w:val="0"/>
      </w:rPr>
      <w:t xml:space="preserve"> originally issued September </w:t>
    </w:r>
    <w:r>
      <w:rPr>
        <w:rStyle w:val="PageNumber"/>
        <w:i/>
        <w:snapToGrid w:val="0"/>
      </w:rPr>
      <w:t>16</w:t>
    </w:r>
    <w:r w:rsidRPr="00607A77">
      <w:rPr>
        <w:rStyle w:val="PageNumber"/>
        <w:i/>
        <w:snapToGrid w:val="0"/>
      </w:rPr>
      <w:t xml:space="preserve">, 1998 and first revision “Rescheduling of </w:t>
    </w:r>
    <w:r>
      <w:rPr>
        <w:rStyle w:val="PageNumber"/>
        <w:i/>
        <w:snapToGrid w:val="0"/>
      </w:rPr>
      <w:t>c</w:t>
    </w:r>
    <w:r w:rsidRPr="00607A77">
      <w:rPr>
        <w:rStyle w:val="PageNumber"/>
        <w:i/>
        <w:snapToGrid w:val="0"/>
      </w:rPr>
      <w:t xml:space="preserve">onsultative </w:t>
    </w:r>
    <w:r>
      <w:rPr>
        <w:rStyle w:val="PageNumber"/>
        <w:i/>
        <w:snapToGrid w:val="0"/>
      </w:rPr>
      <w:t>e</w:t>
    </w:r>
    <w:r w:rsidRPr="00607A77">
      <w:rPr>
        <w:rStyle w:val="PageNumber"/>
        <w:i/>
        <w:snapToGrid w:val="0"/>
      </w:rPr>
      <w:t>xaminations/good cause</w:t>
    </w:r>
    <w:r>
      <w:rPr>
        <w:rStyle w:val="PageNumber"/>
        <w:i/>
        <w:snapToGrid w:val="0"/>
      </w:rPr>
      <w:t xml:space="preserve"> factors</w:t>
    </w:r>
    <w:r w:rsidRPr="00607A77">
      <w:rPr>
        <w:rStyle w:val="PageNumber"/>
        <w:i/>
        <w:snapToGrid w:val="0"/>
      </w:rPr>
      <w:t>” dated September 6, 2001</w:t>
    </w:r>
    <w:r>
      <w:rPr>
        <w:rStyle w:val="PageNumber"/>
        <w:i/>
        <w:snapToGrid w:val="0"/>
      </w:rPr>
      <w:t xml:space="preserve"> and second revision “</w:t>
    </w:r>
    <w:r w:rsidRPr="00607A77">
      <w:rPr>
        <w:rStyle w:val="PageNumber"/>
        <w:i/>
        <w:snapToGrid w:val="0"/>
      </w:rPr>
      <w:t xml:space="preserve">Rescheduling of </w:t>
    </w:r>
    <w:r>
      <w:rPr>
        <w:rStyle w:val="PageNumber"/>
        <w:i/>
        <w:snapToGrid w:val="0"/>
      </w:rPr>
      <w:t>c</w:t>
    </w:r>
    <w:r w:rsidRPr="00607A77">
      <w:rPr>
        <w:rStyle w:val="PageNumber"/>
        <w:i/>
        <w:snapToGrid w:val="0"/>
      </w:rPr>
      <w:t xml:space="preserve">onsultative </w:t>
    </w:r>
    <w:r>
      <w:rPr>
        <w:rStyle w:val="PageNumber"/>
        <w:i/>
        <w:snapToGrid w:val="0"/>
      </w:rPr>
      <w:t>e</w:t>
    </w:r>
    <w:r w:rsidRPr="00607A77">
      <w:rPr>
        <w:rStyle w:val="PageNumber"/>
        <w:i/>
        <w:snapToGrid w:val="0"/>
      </w:rPr>
      <w:t>xaminations/good cause</w:t>
    </w:r>
    <w:r>
      <w:rPr>
        <w:rStyle w:val="PageNumber"/>
        <w:i/>
        <w:snapToGrid w:val="0"/>
      </w:rPr>
      <w:t xml:space="preserve"> factors” dated April 24, 2006.</w:t>
    </w:r>
  </w:p>
  <w:p w:rsidR="00323186" w:rsidRDefault="00323186">
    <w:pPr>
      <w:pStyle w:val="Footer"/>
    </w:pPr>
  </w:p>
  <w:p w:rsidR="00323186" w:rsidRDefault="00323186">
    <w:pPr>
      <w:pStyle w:val="Footer"/>
    </w:pPr>
  </w:p>
  <w:p w:rsidR="00323186" w:rsidRPr="00607A77" w:rsidRDefault="00323186" w:rsidP="00607A77">
    <w:pPr>
      <w:pStyle w:val="Footer"/>
      <w:jc w:val="center"/>
    </w:pPr>
    <w:r>
      <w:t xml:space="preserve">Page </w:t>
    </w:r>
    <w:fldSimple w:instr=" PAGE ">
      <w:r w:rsidR="00FE2C6E">
        <w:rPr>
          <w:noProof/>
        </w:rPr>
        <w:t>1</w:t>
      </w:r>
    </w:fldSimple>
    <w:r>
      <w:t xml:space="preserve"> of </w:t>
    </w:r>
    <w:fldSimple w:instr=" NUMPAGES ">
      <w:r w:rsidR="00FE2C6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86" w:rsidRDefault="00323186">
      <w:r>
        <w:separator/>
      </w:r>
    </w:p>
  </w:footnote>
  <w:footnote w:type="continuationSeparator" w:id="0">
    <w:p w:rsidR="00323186" w:rsidRDefault="0032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A6796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240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EB05C8"/>
    <w:multiLevelType w:val="hybridMultilevel"/>
    <w:tmpl w:val="0F686B80"/>
    <w:lvl w:ilvl="0" w:tplc="DD5C920C">
      <w:start w:val="1"/>
      <w:numFmt w:val="upperRoman"/>
      <w:lvlText w:val="%1."/>
      <w:lvlJc w:val="left"/>
      <w:pPr>
        <w:tabs>
          <w:tab w:val="num" w:pos="1080"/>
        </w:tabs>
        <w:ind w:left="1080" w:hanging="720"/>
      </w:pPr>
      <w:rPr>
        <w:b/>
      </w:rPr>
    </w:lvl>
    <w:lvl w:ilvl="1" w:tplc="F9F60A44">
      <w:start w:val="1"/>
      <w:numFmt w:val="upperLetter"/>
      <w:lvlText w:val="%2."/>
      <w:lvlJc w:val="left"/>
      <w:pPr>
        <w:tabs>
          <w:tab w:val="num" w:pos="900"/>
        </w:tabs>
        <w:ind w:left="900" w:hanging="360"/>
      </w:pPr>
    </w:lvl>
    <w:lvl w:ilvl="2" w:tplc="DAAA414E">
      <w:start w:val="1"/>
      <w:numFmt w:val="decimal"/>
      <w:lvlText w:val="%3."/>
      <w:lvlJc w:val="left"/>
      <w:pPr>
        <w:tabs>
          <w:tab w:val="num" w:pos="990"/>
        </w:tabs>
        <w:ind w:left="990" w:hanging="360"/>
      </w:pPr>
    </w:lvl>
    <w:lvl w:ilvl="3" w:tplc="932EEE3C">
      <w:start w:val="1"/>
      <w:numFmt w:val="lowerLetter"/>
      <w:lvlText w:val="%4)"/>
      <w:lvlJc w:val="left"/>
      <w:pPr>
        <w:tabs>
          <w:tab w:val="num" w:pos="2880"/>
        </w:tabs>
        <w:ind w:left="2880" w:hanging="360"/>
      </w:pPr>
      <w:rPr>
        <w:rFonts w:ascii="Times New Roman" w:eastAsia="Times New Roman" w:hAnsi="Times New Roman" w:cs="Times New Roman"/>
      </w:rPr>
    </w:lvl>
    <w:lvl w:ilvl="4" w:tplc="90A6C792">
      <w:start w:val="1"/>
      <w:numFmt w:val="lowerLetter"/>
      <w:lvlText w:val="%5."/>
      <w:lvlJc w:val="left"/>
      <w:pPr>
        <w:tabs>
          <w:tab w:val="num" w:pos="3600"/>
        </w:tabs>
        <w:ind w:left="3600" w:hanging="360"/>
      </w:pPr>
    </w:lvl>
    <w:lvl w:ilvl="5" w:tplc="4F0AC7E0">
      <w:start w:val="1"/>
      <w:numFmt w:val="decimal"/>
      <w:lvlText w:val="%6)"/>
      <w:lvlJc w:val="left"/>
      <w:pPr>
        <w:tabs>
          <w:tab w:val="num" w:pos="4500"/>
        </w:tabs>
        <w:ind w:left="4500" w:hanging="360"/>
      </w:pPr>
    </w:lvl>
    <w:lvl w:ilvl="6" w:tplc="668EDBD6">
      <w:start w:val="1"/>
      <w:numFmt w:val="lowerLetter"/>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C5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8F3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E61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9C2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9F7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F5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D93828"/>
    <w:multiLevelType w:val="singleLevel"/>
    <w:tmpl w:val="120CAC34"/>
    <w:lvl w:ilvl="0">
      <w:start w:val="1"/>
      <w:numFmt w:val="decimal"/>
      <w:lvlText w:val="%1."/>
      <w:legacy w:legacy="1" w:legacySpace="0" w:legacyIndent="360"/>
      <w:lvlJc w:val="left"/>
      <w:pPr>
        <w:ind w:left="360" w:hanging="360"/>
      </w:pPr>
    </w:lvl>
  </w:abstractNum>
  <w:abstractNum w:abstractNumId="11">
    <w:nsid w:val="35401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23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EC424F"/>
    <w:multiLevelType w:val="hybridMultilevel"/>
    <w:tmpl w:val="00BCA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36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D6B6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F9B4C33"/>
    <w:multiLevelType w:val="hybridMultilevel"/>
    <w:tmpl w:val="26588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85000"/>
    <w:multiLevelType w:val="singleLevel"/>
    <w:tmpl w:val="0409000F"/>
    <w:lvl w:ilvl="0">
      <w:start w:val="1"/>
      <w:numFmt w:val="decimal"/>
      <w:lvlText w:val="%1."/>
      <w:lvlJc w:val="left"/>
      <w:pPr>
        <w:tabs>
          <w:tab w:val="num" w:pos="360"/>
        </w:tabs>
        <w:ind w:left="360" w:hanging="360"/>
      </w:pPr>
    </w:lvl>
  </w:abstractNum>
  <w:abstractNum w:abstractNumId="18">
    <w:nsid w:val="44BD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3F5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6E1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2D61413"/>
    <w:multiLevelType w:val="singleLevel"/>
    <w:tmpl w:val="0409000F"/>
    <w:lvl w:ilvl="0">
      <w:start w:val="1"/>
      <w:numFmt w:val="decimal"/>
      <w:lvlText w:val="%1."/>
      <w:lvlJc w:val="left"/>
      <w:pPr>
        <w:tabs>
          <w:tab w:val="num" w:pos="360"/>
        </w:tabs>
        <w:ind w:left="360" w:hanging="360"/>
      </w:pPr>
    </w:lvl>
  </w:abstractNum>
  <w:abstractNum w:abstractNumId="22">
    <w:nsid w:val="53C90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4D548B4"/>
    <w:multiLevelType w:val="hybridMultilevel"/>
    <w:tmpl w:val="D6341A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80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8591828"/>
    <w:multiLevelType w:val="singleLevel"/>
    <w:tmpl w:val="0409000F"/>
    <w:lvl w:ilvl="0">
      <w:start w:val="1"/>
      <w:numFmt w:val="decimal"/>
      <w:lvlText w:val="%1."/>
      <w:lvlJc w:val="left"/>
      <w:pPr>
        <w:tabs>
          <w:tab w:val="num" w:pos="360"/>
        </w:tabs>
        <w:ind w:left="360" w:hanging="360"/>
      </w:pPr>
    </w:lvl>
  </w:abstractNum>
  <w:abstractNum w:abstractNumId="26">
    <w:nsid w:val="5A4A0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DD0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2BE590A"/>
    <w:multiLevelType w:val="hybridMultilevel"/>
    <w:tmpl w:val="2110A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03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0AF4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4011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2B7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FD73D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9"/>
  </w:num>
  <w:num w:numId="3">
    <w:abstractNumId w:val="20"/>
  </w:num>
  <w:num w:numId="4">
    <w:abstractNumId w:val="12"/>
  </w:num>
  <w:num w:numId="5">
    <w:abstractNumId w:val="11"/>
  </w:num>
  <w:num w:numId="6">
    <w:abstractNumId w:val="14"/>
  </w:num>
  <w:num w:numId="7">
    <w:abstractNumId w:val="4"/>
  </w:num>
  <w:num w:numId="8">
    <w:abstractNumId w:val="26"/>
  </w:num>
  <w:num w:numId="9">
    <w:abstractNumId w:val="5"/>
  </w:num>
  <w:num w:numId="10">
    <w:abstractNumId w:val="7"/>
  </w:num>
  <w:num w:numId="11">
    <w:abstractNumId w:val="6"/>
  </w:num>
  <w:num w:numId="12">
    <w:abstractNumId w:val="32"/>
  </w:num>
  <w:num w:numId="13">
    <w:abstractNumId w:val="30"/>
  </w:num>
  <w:num w:numId="14">
    <w:abstractNumId w:val="2"/>
  </w:num>
  <w:num w:numId="15">
    <w:abstractNumId w:val="33"/>
  </w:num>
  <w:num w:numId="16">
    <w:abstractNumId w:val="15"/>
  </w:num>
  <w:num w:numId="17">
    <w:abstractNumId w:val="8"/>
  </w:num>
  <w:num w:numId="18">
    <w:abstractNumId w:val="18"/>
  </w:num>
  <w:num w:numId="19">
    <w:abstractNumId w:val="22"/>
  </w:num>
  <w:num w:numId="20">
    <w:abstractNumId w:val="24"/>
  </w:num>
  <w:num w:numId="21">
    <w:abstractNumId w:val="29"/>
  </w:num>
  <w:num w:numId="22">
    <w:abstractNumId w:val="17"/>
  </w:num>
  <w:num w:numId="23">
    <w:abstractNumId w:val="19"/>
  </w:num>
  <w:num w:numId="24">
    <w:abstractNumId w:val="0"/>
  </w:num>
  <w:num w:numId="25">
    <w:abstractNumId w:val="1"/>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26">
    <w:abstractNumId w:val="10"/>
  </w:num>
  <w:num w:numId="27">
    <w:abstractNumId w:val="10"/>
    <w:lvlOverride w:ilvl="0">
      <w:lvl w:ilvl="0">
        <w:start w:val="1"/>
        <w:numFmt w:val="decimal"/>
        <w:lvlText w:val="%1."/>
        <w:legacy w:legacy="1" w:legacySpace="0" w:legacyIndent="360"/>
        <w:lvlJc w:val="left"/>
        <w:pPr>
          <w:ind w:left="360" w:hanging="360"/>
        </w:pPr>
      </w:lvl>
    </w:lvlOverride>
  </w:num>
  <w:num w:numId="28">
    <w:abstractNumId w:val="27"/>
  </w:num>
  <w:num w:numId="29">
    <w:abstractNumId w:val="21"/>
  </w:num>
  <w:num w:numId="30">
    <w:abstractNumId w:val="2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16"/>
  </w:num>
  <w:num w:numId="35">
    <w:abstractNumId w:val="2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4DB6"/>
    <w:rsid w:val="000146DA"/>
    <w:rsid w:val="00045A4F"/>
    <w:rsid w:val="0006738D"/>
    <w:rsid w:val="00091617"/>
    <w:rsid w:val="000B078C"/>
    <w:rsid w:val="000B13B7"/>
    <w:rsid w:val="000B59AB"/>
    <w:rsid w:val="000F00D1"/>
    <w:rsid w:val="000F0BD9"/>
    <w:rsid w:val="000F347A"/>
    <w:rsid w:val="001044C5"/>
    <w:rsid w:val="001159A2"/>
    <w:rsid w:val="00134FE4"/>
    <w:rsid w:val="00137D76"/>
    <w:rsid w:val="00152503"/>
    <w:rsid w:val="00152E87"/>
    <w:rsid w:val="0017152B"/>
    <w:rsid w:val="00172282"/>
    <w:rsid w:val="0017666E"/>
    <w:rsid w:val="00192FBC"/>
    <w:rsid w:val="00196B57"/>
    <w:rsid w:val="00196D0E"/>
    <w:rsid w:val="001B56E5"/>
    <w:rsid w:val="001D3EB4"/>
    <w:rsid w:val="001F0358"/>
    <w:rsid w:val="00204394"/>
    <w:rsid w:val="00211132"/>
    <w:rsid w:val="00223C1B"/>
    <w:rsid w:val="00251737"/>
    <w:rsid w:val="00257D62"/>
    <w:rsid w:val="00274383"/>
    <w:rsid w:val="0028587F"/>
    <w:rsid w:val="00287DBC"/>
    <w:rsid w:val="00291D62"/>
    <w:rsid w:val="00292499"/>
    <w:rsid w:val="002934AA"/>
    <w:rsid w:val="002A790E"/>
    <w:rsid w:val="002B7354"/>
    <w:rsid w:val="002C2B96"/>
    <w:rsid w:val="002E3895"/>
    <w:rsid w:val="002E65C8"/>
    <w:rsid w:val="002E7A93"/>
    <w:rsid w:val="002E7F28"/>
    <w:rsid w:val="002F517C"/>
    <w:rsid w:val="00321EA6"/>
    <w:rsid w:val="00323186"/>
    <w:rsid w:val="003245D3"/>
    <w:rsid w:val="0033459F"/>
    <w:rsid w:val="00335BCF"/>
    <w:rsid w:val="00345A5E"/>
    <w:rsid w:val="00352798"/>
    <w:rsid w:val="0036056E"/>
    <w:rsid w:val="003A673F"/>
    <w:rsid w:val="003A7D65"/>
    <w:rsid w:val="003C42A4"/>
    <w:rsid w:val="003D2B2D"/>
    <w:rsid w:val="003D77DF"/>
    <w:rsid w:val="003F053F"/>
    <w:rsid w:val="003F0C52"/>
    <w:rsid w:val="00440F56"/>
    <w:rsid w:val="004822E4"/>
    <w:rsid w:val="004903AD"/>
    <w:rsid w:val="004945BE"/>
    <w:rsid w:val="004B180E"/>
    <w:rsid w:val="004E0F7B"/>
    <w:rsid w:val="005022F3"/>
    <w:rsid w:val="005025E4"/>
    <w:rsid w:val="00514FEF"/>
    <w:rsid w:val="005601E4"/>
    <w:rsid w:val="00586E0A"/>
    <w:rsid w:val="00592A78"/>
    <w:rsid w:val="00597894"/>
    <w:rsid w:val="005E1627"/>
    <w:rsid w:val="00607A77"/>
    <w:rsid w:val="0062084D"/>
    <w:rsid w:val="0067621B"/>
    <w:rsid w:val="00691E13"/>
    <w:rsid w:val="006A2FD6"/>
    <w:rsid w:val="006C7F6C"/>
    <w:rsid w:val="006F5B1B"/>
    <w:rsid w:val="006F613F"/>
    <w:rsid w:val="0071031F"/>
    <w:rsid w:val="007842F8"/>
    <w:rsid w:val="007B0D5A"/>
    <w:rsid w:val="007B1D6A"/>
    <w:rsid w:val="007C2A29"/>
    <w:rsid w:val="007D0DAA"/>
    <w:rsid w:val="007D53D0"/>
    <w:rsid w:val="007E7CE9"/>
    <w:rsid w:val="00831360"/>
    <w:rsid w:val="00831F26"/>
    <w:rsid w:val="00840F74"/>
    <w:rsid w:val="00883ECF"/>
    <w:rsid w:val="00885F12"/>
    <w:rsid w:val="008F4265"/>
    <w:rsid w:val="0090156F"/>
    <w:rsid w:val="00925C0D"/>
    <w:rsid w:val="0092668B"/>
    <w:rsid w:val="00926D55"/>
    <w:rsid w:val="009322EB"/>
    <w:rsid w:val="00951592"/>
    <w:rsid w:val="00955779"/>
    <w:rsid w:val="00971DF4"/>
    <w:rsid w:val="00991E6E"/>
    <w:rsid w:val="00996E57"/>
    <w:rsid w:val="009B6F15"/>
    <w:rsid w:val="009D4055"/>
    <w:rsid w:val="00A16394"/>
    <w:rsid w:val="00A2021F"/>
    <w:rsid w:val="00A24D75"/>
    <w:rsid w:val="00A309A3"/>
    <w:rsid w:val="00A32979"/>
    <w:rsid w:val="00A374E8"/>
    <w:rsid w:val="00A6290F"/>
    <w:rsid w:val="00A65F4B"/>
    <w:rsid w:val="00A729B8"/>
    <w:rsid w:val="00A84AF3"/>
    <w:rsid w:val="00A95475"/>
    <w:rsid w:val="00AB078A"/>
    <w:rsid w:val="00AB6FEA"/>
    <w:rsid w:val="00AC324B"/>
    <w:rsid w:val="00AC62DB"/>
    <w:rsid w:val="00AD68C2"/>
    <w:rsid w:val="00AE169E"/>
    <w:rsid w:val="00AE36EC"/>
    <w:rsid w:val="00AE6A4D"/>
    <w:rsid w:val="00B004BF"/>
    <w:rsid w:val="00B24746"/>
    <w:rsid w:val="00B44F1C"/>
    <w:rsid w:val="00B60115"/>
    <w:rsid w:val="00B73F75"/>
    <w:rsid w:val="00B86FC4"/>
    <w:rsid w:val="00BA015C"/>
    <w:rsid w:val="00BC42A1"/>
    <w:rsid w:val="00BD0338"/>
    <w:rsid w:val="00BE35B4"/>
    <w:rsid w:val="00BF2070"/>
    <w:rsid w:val="00C0063A"/>
    <w:rsid w:val="00C06AF1"/>
    <w:rsid w:val="00C266B2"/>
    <w:rsid w:val="00C27BB9"/>
    <w:rsid w:val="00C45938"/>
    <w:rsid w:val="00C6421F"/>
    <w:rsid w:val="00C7292E"/>
    <w:rsid w:val="00CB398C"/>
    <w:rsid w:val="00CE0138"/>
    <w:rsid w:val="00CE1FF6"/>
    <w:rsid w:val="00CE4E74"/>
    <w:rsid w:val="00CF6129"/>
    <w:rsid w:val="00D1387C"/>
    <w:rsid w:val="00D13EE2"/>
    <w:rsid w:val="00D60E7B"/>
    <w:rsid w:val="00D80AD9"/>
    <w:rsid w:val="00D92DF6"/>
    <w:rsid w:val="00DF3867"/>
    <w:rsid w:val="00E02B08"/>
    <w:rsid w:val="00E14C97"/>
    <w:rsid w:val="00E31984"/>
    <w:rsid w:val="00E47288"/>
    <w:rsid w:val="00E85F4A"/>
    <w:rsid w:val="00E86174"/>
    <w:rsid w:val="00EA4DB6"/>
    <w:rsid w:val="00EA7407"/>
    <w:rsid w:val="00EB071C"/>
    <w:rsid w:val="00ED44F7"/>
    <w:rsid w:val="00F02C40"/>
    <w:rsid w:val="00F056C1"/>
    <w:rsid w:val="00F21AE0"/>
    <w:rsid w:val="00F437DC"/>
    <w:rsid w:val="00F664A2"/>
    <w:rsid w:val="00F8789A"/>
    <w:rsid w:val="00F93254"/>
    <w:rsid w:val="00FB390D"/>
    <w:rsid w:val="00FB3C29"/>
    <w:rsid w:val="00FC2A86"/>
    <w:rsid w:val="00FD67DF"/>
    <w:rsid w:val="00FE2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98"/>
  </w:style>
  <w:style w:type="paragraph" w:styleId="Heading1">
    <w:name w:val="heading 1"/>
    <w:basedOn w:val="Normal"/>
    <w:next w:val="Normal"/>
    <w:qFormat/>
    <w:rsid w:val="00352798"/>
    <w:pPr>
      <w:keepNext/>
      <w:ind w:left="1440"/>
      <w:outlineLvl w:val="0"/>
    </w:pPr>
    <w:rPr>
      <w:b/>
    </w:rPr>
  </w:style>
  <w:style w:type="paragraph" w:styleId="Heading2">
    <w:name w:val="heading 2"/>
    <w:basedOn w:val="Normal"/>
    <w:next w:val="Normal"/>
    <w:qFormat/>
    <w:rsid w:val="00352798"/>
    <w:pPr>
      <w:keepNext/>
      <w:ind w:left="720"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352798"/>
    <w:pPr>
      <w:keepLines/>
      <w:tabs>
        <w:tab w:val="left" w:pos="1560"/>
      </w:tabs>
      <w:spacing w:after="0" w:line="415" w:lineRule="atLeast"/>
      <w:ind w:left="1560" w:hanging="720"/>
    </w:pPr>
  </w:style>
  <w:style w:type="paragraph" w:styleId="ListContinue">
    <w:name w:val="List Continue"/>
    <w:basedOn w:val="List"/>
    <w:rsid w:val="00352798"/>
    <w:pPr>
      <w:spacing w:after="220" w:line="220" w:lineRule="atLeast"/>
      <w:ind w:left="1200" w:right="480" w:firstLine="0"/>
    </w:pPr>
  </w:style>
  <w:style w:type="paragraph" w:styleId="BodyText">
    <w:name w:val="Body Text"/>
    <w:basedOn w:val="Normal"/>
    <w:rsid w:val="00352798"/>
    <w:pPr>
      <w:spacing w:after="220" w:line="220" w:lineRule="atLeast"/>
      <w:ind w:left="840" w:right="-360"/>
    </w:pPr>
  </w:style>
  <w:style w:type="paragraph" w:styleId="List">
    <w:name w:val="List"/>
    <w:basedOn w:val="Normal"/>
    <w:rsid w:val="00352798"/>
    <w:pPr>
      <w:ind w:left="360" w:hanging="360"/>
    </w:pPr>
  </w:style>
  <w:style w:type="paragraph" w:styleId="DocumentMap">
    <w:name w:val="Document Map"/>
    <w:basedOn w:val="Normal"/>
    <w:semiHidden/>
    <w:rsid w:val="00352798"/>
    <w:pPr>
      <w:shd w:val="clear" w:color="auto" w:fill="000080"/>
    </w:pPr>
    <w:rPr>
      <w:rFonts w:ascii="Tahoma" w:hAnsi="Tahoma"/>
    </w:rPr>
  </w:style>
  <w:style w:type="paragraph" w:styleId="ListBullet">
    <w:name w:val="List Bullet"/>
    <w:basedOn w:val="List"/>
    <w:autoRedefine/>
    <w:rsid w:val="00335BCF"/>
    <w:pPr>
      <w:spacing w:after="220" w:line="220" w:lineRule="atLeast"/>
      <w:ind w:left="0" w:right="360" w:hanging="1800"/>
    </w:pPr>
    <w:rPr>
      <w:b/>
      <w:sz w:val="24"/>
    </w:rPr>
  </w:style>
  <w:style w:type="paragraph" w:styleId="BalloonText">
    <w:name w:val="Balloon Text"/>
    <w:basedOn w:val="Normal"/>
    <w:semiHidden/>
    <w:rsid w:val="00AE169E"/>
    <w:rPr>
      <w:rFonts w:ascii="Tahoma" w:hAnsi="Tahoma" w:cs="Tahoma"/>
      <w:sz w:val="16"/>
      <w:szCs w:val="16"/>
    </w:rPr>
  </w:style>
  <w:style w:type="paragraph" w:styleId="Header">
    <w:name w:val="header"/>
    <w:basedOn w:val="Normal"/>
    <w:rsid w:val="00BE35B4"/>
    <w:pPr>
      <w:tabs>
        <w:tab w:val="center" w:pos="4320"/>
        <w:tab w:val="right" w:pos="8640"/>
      </w:tabs>
    </w:pPr>
  </w:style>
  <w:style w:type="paragraph" w:styleId="Footer">
    <w:name w:val="footer"/>
    <w:basedOn w:val="Normal"/>
    <w:rsid w:val="00BE35B4"/>
    <w:pPr>
      <w:tabs>
        <w:tab w:val="center" w:pos="4320"/>
        <w:tab w:val="right" w:pos="8640"/>
      </w:tabs>
    </w:pPr>
  </w:style>
  <w:style w:type="character" w:styleId="PageNumber">
    <w:name w:val="page number"/>
    <w:basedOn w:val="DefaultParagraphFont"/>
    <w:rsid w:val="00BE35B4"/>
  </w:style>
  <w:style w:type="paragraph" w:styleId="FootnoteText">
    <w:name w:val="footnote text"/>
    <w:basedOn w:val="Normal"/>
    <w:link w:val="FootnoteTextChar"/>
    <w:rsid w:val="00A95475"/>
  </w:style>
  <w:style w:type="character" w:customStyle="1" w:styleId="FootnoteTextChar">
    <w:name w:val="Footnote Text Char"/>
    <w:basedOn w:val="DefaultParagraphFont"/>
    <w:link w:val="FootnoteText"/>
    <w:rsid w:val="00A95475"/>
  </w:style>
  <w:style w:type="character" w:styleId="FootnoteReference">
    <w:name w:val="footnote reference"/>
    <w:basedOn w:val="DefaultParagraphFont"/>
    <w:rsid w:val="00A95475"/>
    <w:rPr>
      <w:vertAlign w:val="superscript"/>
    </w:rPr>
  </w:style>
  <w:style w:type="paragraph" w:styleId="ListParagraph">
    <w:name w:val="List Paragraph"/>
    <w:basedOn w:val="Normal"/>
    <w:uiPriority w:val="34"/>
    <w:qFormat/>
    <w:rsid w:val="00192FBC"/>
    <w:pPr>
      <w:ind w:left="720"/>
      <w:contextualSpacing/>
    </w:pPr>
  </w:style>
  <w:style w:type="character" w:styleId="CommentReference">
    <w:name w:val="annotation reference"/>
    <w:basedOn w:val="DefaultParagraphFont"/>
    <w:rsid w:val="00955779"/>
    <w:rPr>
      <w:sz w:val="16"/>
      <w:szCs w:val="16"/>
    </w:rPr>
  </w:style>
  <w:style w:type="paragraph" w:styleId="CommentText">
    <w:name w:val="annotation text"/>
    <w:basedOn w:val="Normal"/>
    <w:link w:val="CommentTextChar"/>
    <w:rsid w:val="00955779"/>
  </w:style>
  <w:style w:type="character" w:customStyle="1" w:styleId="CommentTextChar">
    <w:name w:val="Comment Text Char"/>
    <w:basedOn w:val="DefaultParagraphFont"/>
    <w:link w:val="CommentText"/>
    <w:rsid w:val="00955779"/>
  </w:style>
  <w:style w:type="paragraph" w:styleId="CommentSubject">
    <w:name w:val="annotation subject"/>
    <w:basedOn w:val="CommentText"/>
    <w:next w:val="CommentText"/>
    <w:link w:val="CommentSubjectChar"/>
    <w:rsid w:val="00955779"/>
    <w:rPr>
      <w:b/>
      <w:bCs/>
    </w:rPr>
  </w:style>
  <w:style w:type="character" w:customStyle="1" w:styleId="CommentSubjectChar">
    <w:name w:val="Comment Subject Char"/>
    <w:basedOn w:val="CommentTextChar"/>
    <w:link w:val="CommentSubject"/>
    <w:rsid w:val="00955779"/>
    <w:rPr>
      <w:b/>
      <w:bCs/>
    </w:rPr>
  </w:style>
</w:styles>
</file>

<file path=word/webSettings.xml><?xml version="1.0" encoding="utf-8"?>
<w:webSettings xmlns:r="http://schemas.openxmlformats.org/officeDocument/2006/relationships" xmlns:w="http://schemas.openxmlformats.org/wordprocessingml/2006/main">
  <w:divs>
    <w:div w:id="3364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B81A-D343-4DD0-8BCE-C154555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UMassMed</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Carmen S. Webb</dc:creator>
  <cp:keywords/>
  <dc:description/>
  <cp:lastModifiedBy>umass</cp:lastModifiedBy>
  <cp:revision>2</cp:revision>
  <cp:lastPrinted>2014-05-22T14:40:00Z</cp:lastPrinted>
  <dcterms:created xsi:type="dcterms:W3CDTF">2014-05-27T11:18:00Z</dcterms:created>
  <dcterms:modified xsi:type="dcterms:W3CDTF">2014-05-27T11:18:00Z</dcterms:modified>
</cp:coreProperties>
</file>