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DFC8" w14:textId="77777777" w:rsidR="00687EDF" w:rsidRDefault="00517F35" w:rsidP="00A3548E">
      <w:r w:rsidRPr="00A3548E">
        <w:tab/>
      </w:r>
      <w:r w:rsidRPr="00A3548E">
        <w:tab/>
      </w:r>
    </w:p>
    <w:p w14:paraId="0C0BDE1E" w14:textId="77777777" w:rsidR="00353996" w:rsidRDefault="00517F35" w:rsidP="00A3548E">
      <w:r w:rsidRPr="00A3548E">
        <w:tab/>
      </w:r>
      <w:r w:rsidRPr="00A3548E">
        <w:tab/>
      </w:r>
      <w:r w:rsidRPr="00A3548E">
        <w:tab/>
      </w:r>
    </w:p>
    <w:p w14:paraId="3E54CBF0" w14:textId="77777777" w:rsidR="00E37C7F" w:rsidRPr="00640BE0" w:rsidRDefault="00FB5AE7" w:rsidP="00A3548E">
      <w:pPr>
        <w:rPr>
          <w:b/>
        </w:rPr>
      </w:pPr>
      <w:r>
        <w:rPr>
          <w:b/>
        </w:rPr>
        <w:tab/>
      </w:r>
      <w:r>
        <w:rPr>
          <w:b/>
        </w:rPr>
        <w:tab/>
      </w:r>
      <w:r>
        <w:rPr>
          <w:b/>
        </w:rPr>
        <w:tab/>
      </w:r>
      <w:r>
        <w:rPr>
          <w:b/>
        </w:rPr>
        <w:tab/>
      </w:r>
      <w:r>
        <w:rPr>
          <w:b/>
        </w:rPr>
        <w:tab/>
      </w:r>
      <w:r>
        <w:rPr>
          <w:b/>
        </w:rPr>
        <w:tab/>
      </w:r>
      <w:r>
        <w:rPr>
          <w:b/>
        </w:rPr>
        <w:tab/>
      </w:r>
      <w:r w:rsidRPr="008D111F">
        <w:rPr>
          <w:rFonts w:ascii="Comic Sans MS" w:hAnsi="Comic Sans MS"/>
          <w:b/>
        </w:rPr>
        <w:t>Procedural Standard 0</w:t>
      </w:r>
      <w:r>
        <w:rPr>
          <w:rFonts w:ascii="Comic Sans MS" w:hAnsi="Comic Sans MS"/>
          <w:b/>
        </w:rPr>
        <w:t>4</w:t>
      </w:r>
      <w:r w:rsidRPr="008D111F">
        <w:rPr>
          <w:rFonts w:ascii="Comic Sans MS" w:hAnsi="Comic Sans MS"/>
          <w:b/>
        </w:rPr>
        <w:t>-</w:t>
      </w:r>
      <w:r>
        <w:rPr>
          <w:rFonts w:ascii="Comic Sans MS" w:hAnsi="Comic Sans MS"/>
          <w:b/>
        </w:rPr>
        <w:t>1</w:t>
      </w:r>
    </w:p>
    <w:p w14:paraId="56208204" w14:textId="43A061C4" w:rsidR="00517F35" w:rsidRPr="00D22ECC" w:rsidRDefault="00FB5AE7" w:rsidP="00FB5AE7">
      <w:pPr>
        <w:tabs>
          <w:tab w:val="left" w:pos="5040"/>
        </w:tabs>
        <w:rPr>
          <w:b/>
        </w:rPr>
      </w:pPr>
      <w:r>
        <w:tab/>
      </w:r>
      <w:r w:rsidR="00E654C1">
        <w:rPr>
          <w:b/>
        </w:rPr>
        <w:t xml:space="preserve">January </w:t>
      </w:r>
      <w:r w:rsidR="006C6066">
        <w:rPr>
          <w:b/>
        </w:rPr>
        <w:t>27</w:t>
      </w:r>
      <w:bookmarkStart w:id="0" w:name="_GoBack"/>
      <w:bookmarkEnd w:id="0"/>
      <w:r w:rsidR="00274B38">
        <w:rPr>
          <w:b/>
        </w:rPr>
        <w:t>, 20</w:t>
      </w:r>
      <w:r w:rsidR="00E654C1">
        <w:rPr>
          <w:b/>
        </w:rPr>
        <w:t>20</w:t>
      </w:r>
    </w:p>
    <w:p w14:paraId="3828A666" w14:textId="77777777" w:rsidR="00FB5AE7" w:rsidRDefault="00FB5AE7" w:rsidP="00A3548E"/>
    <w:p w14:paraId="0A8473D2" w14:textId="77777777" w:rsidR="00517F35" w:rsidRPr="00A3548E" w:rsidRDefault="00517F35" w:rsidP="00FB5AE7">
      <w:pPr>
        <w:spacing w:line="360" w:lineRule="auto"/>
        <w:ind w:firstLine="720"/>
      </w:pPr>
      <w:r w:rsidRPr="00A3548E">
        <w:t>TO:</w:t>
      </w:r>
      <w:r w:rsidRPr="00A3548E">
        <w:tab/>
        <w:t>All DES Staff</w:t>
      </w:r>
    </w:p>
    <w:p w14:paraId="165BEDD3" w14:textId="77777777" w:rsidR="00517F35" w:rsidRPr="00A3548E" w:rsidRDefault="003A2636" w:rsidP="00FB5AE7">
      <w:pPr>
        <w:spacing w:line="360" w:lineRule="auto"/>
        <w:ind w:firstLine="720"/>
      </w:pPr>
      <w:r>
        <w:t>FR:</w:t>
      </w:r>
      <w:r>
        <w:tab/>
      </w:r>
      <w:r w:rsidR="00AF1D18">
        <w:t>Frank Joyce RN</w:t>
      </w:r>
      <w:r w:rsidR="00517F35" w:rsidRPr="00A3548E">
        <w:t xml:space="preserve">, </w:t>
      </w:r>
      <w:r w:rsidR="00AF1D18">
        <w:t xml:space="preserve">Senior </w:t>
      </w:r>
      <w:r w:rsidR="00517F35" w:rsidRPr="00A3548E">
        <w:t>Director, Disability Evaluation Services</w:t>
      </w:r>
      <w:r w:rsidR="00AF1D18">
        <w:t xml:space="preserve"> (DES)</w:t>
      </w:r>
    </w:p>
    <w:p w14:paraId="5FBF6369" w14:textId="77777777" w:rsidR="00517F35" w:rsidRPr="006E5230" w:rsidRDefault="00517F35" w:rsidP="005727A1">
      <w:pPr>
        <w:spacing w:line="360" w:lineRule="auto"/>
        <w:ind w:left="1440" w:hanging="720"/>
        <w:rPr>
          <w:szCs w:val="24"/>
        </w:rPr>
      </w:pPr>
      <w:r w:rsidRPr="00A3548E">
        <w:t>BY:</w:t>
      </w:r>
      <w:r w:rsidRPr="00A3548E">
        <w:tab/>
      </w:r>
      <w:r w:rsidR="00AF1D18">
        <w:t>Dayce Moore JD</w:t>
      </w:r>
      <w:r w:rsidR="00BB3389">
        <w:t xml:space="preserve">, </w:t>
      </w:r>
      <w:r w:rsidR="00C67861">
        <w:t>Manager, Business and Service Delivery</w:t>
      </w:r>
      <w:r w:rsidR="002E10D2">
        <w:t xml:space="preserve"> Development </w:t>
      </w:r>
      <w:r w:rsidR="005727A1">
        <w:t xml:space="preserve">(DES Compliance </w:t>
      </w:r>
      <w:r w:rsidR="00BB3389">
        <w:t>Liaison</w:t>
      </w:r>
      <w:r w:rsidR="003A1486">
        <w:t>)</w:t>
      </w:r>
    </w:p>
    <w:p w14:paraId="09816C0D" w14:textId="6C0E6A57" w:rsidR="00517F35" w:rsidRPr="00385DE7" w:rsidRDefault="00517F35" w:rsidP="00186989">
      <w:pPr>
        <w:spacing w:line="360" w:lineRule="auto"/>
        <w:ind w:left="720"/>
        <w:rPr>
          <w:b/>
          <w:color w:val="FF0000"/>
        </w:rPr>
      </w:pPr>
      <w:r w:rsidRPr="00A3548E">
        <w:t>RE:</w:t>
      </w:r>
      <w:r w:rsidRPr="00A3548E">
        <w:tab/>
      </w:r>
      <w:r w:rsidRPr="00640BE0">
        <w:rPr>
          <w:b/>
        </w:rPr>
        <w:t xml:space="preserve">DES </w:t>
      </w:r>
      <w:r w:rsidR="00E37C7F" w:rsidRPr="00640BE0">
        <w:rPr>
          <w:b/>
        </w:rPr>
        <w:t>Data Protection Policies and Procedures</w:t>
      </w:r>
      <w:r w:rsidR="00186989">
        <w:rPr>
          <w:b/>
        </w:rPr>
        <w:t xml:space="preserve">:  </w:t>
      </w:r>
      <w:r w:rsidR="00096D2C">
        <w:rPr>
          <w:b/>
        </w:rPr>
        <w:t>Data Security Breach</w:t>
      </w:r>
      <w:r w:rsidR="00907A4E">
        <w:rPr>
          <w:b/>
        </w:rPr>
        <w:t xml:space="preserve"> </w:t>
      </w:r>
      <w:r w:rsidR="00096D2C">
        <w:rPr>
          <w:b/>
        </w:rPr>
        <w:t xml:space="preserve">and/or </w:t>
      </w:r>
      <w:r w:rsidR="009F6F47" w:rsidRPr="00640BE0">
        <w:rPr>
          <w:b/>
        </w:rPr>
        <w:t xml:space="preserve">Inadvertent </w:t>
      </w:r>
      <w:r w:rsidR="00E37C7F" w:rsidRPr="00640BE0">
        <w:rPr>
          <w:b/>
        </w:rPr>
        <w:t xml:space="preserve">Disclosure of </w:t>
      </w:r>
      <w:r w:rsidR="00096D2C">
        <w:rPr>
          <w:b/>
        </w:rPr>
        <w:t xml:space="preserve">Personally Identifiable Information (PII) including </w:t>
      </w:r>
      <w:r w:rsidR="00E37C7F" w:rsidRPr="00640BE0">
        <w:rPr>
          <w:b/>
        </w:rPr>
        <w:t>Protected Health Information (PHI)</w:t>
      </w:r>
    </w:p>
    <w:p w14:paraId="451AD65C" w14:textId="77777777" w:rsidR="00FB5AE7" w:rsidRPr="00640BE0" w:rsidRDefault="00FB5AE7" w:rsidP="00FB5AE7">
      <w:pPr>
        <w:spacing w:line="360" w:lineRule="auto"/>
        <w:ind w:left="720"/>
        <w:rPr>
          <w:b/>
        </w:rPr>
      </w:pPr>
    </w:p>
    <w:p w14:paraId="319E64A2" w14:textId="77777777" w:rsidR="00517F35" w:rsidRPr="00A3548E" w:rsidRDefault="00517F35" w:rsidP="00FB5AE7">
      <w:pPr>
        <w:pBdr>
          <w:top w:val="single" w:sz="18" w:space="1" w:color="auto"/>
        </w:pBdr>
      </w:pPr>
    </w:p>
    <w:p w14:paraId="24877332" w14:textId="77777777" w:rsidR="00517F35" w:rsidRPr="00A3548E" w:rsidRDefault="00517F35" w:rsidP="00A3548E"/>
    <w:p w14:paraId="7B5AFE8E" w14:textId="77777777" w:rsidR="007F1D1D" w:rsidRDefault="00D22ECC" w:rsidP="00D22ECC">
      <w:pPr>
        <w:tabs>
          <w:tab w:val="left" w:pos="360"/>
        </w:tabs>
        <w:ind w:left="720" w:hanging="1620"/>
      </w:pPr>
      <w:r>
        <w:rPr>
          <w:b/>
        </w:rPr>
        <w:t xml:space="preserve">  </w:t>
      </w:r>
      <w:r w:rsidR="00517F35" w:rsidRPr="00640BE0">
        <w:rPr>
          <w:b/>
        </w:rPr>
        <w:t>Applicability:</w:t>
      </w:r>
      <w:r w:rsidR="00517F35" w:rsidRPr="00A3548E">
        <w:t xml:space="preserve"> </w:t>
      </w:r>
      <w:r>
        <w:t xml:space="preserve"> </w:t>
      </w:r>
    </w:p>
    <w:p w14:paraId="74EFD6C4" w14:textId="07B396F0" w:rsidR="00517F35" w:rsidRPr="00047023" w:rsidRDefault="00517F35" w:rsidP="00047023">
      <w:pPr>
        <w:tabs>
          <w:tab w:val="left" w:pos="0"/>
          <w:tab w:val="left" w:pos="360"/>
        </w:tabs>
      </w:pPr>
      <w:r w:rsidRPr="00A3548E">
        <w:t>For the purposes of this policy</w:t>
      </w:r>
      <w:r w:rsidR="007F1D1D">
        <w:t>,</w:t>
      </w:r>
      <w:r w:rsidRPr="00A3548E">
        <w:t xml:space="preserve"> </w:t>
      </w:r>
      <w:r w:rsidR="004B41F7" w:rsidRPr="004B41F7">
        <w:t>the</w:t>
      </w:r>
      <w:r w:rsidR="006E5230">
        <w:rPr>
          <w:color w:val="0000FF"/>
        </w:rPr>
        <w:t xml:space="preserve"> </w:t>
      </w:r>
      <w:r w:rsidRPr="00A3548E">
        <w:t>Disability Evaluation Services (DES) workforce shall include all DES employees as well as certain other personnel, such as contractors</w:t>
      </w:r>
      <w:r w:rsidR="007F1D1D">
        <w:t xml:space="preserve"> and/or subcontractors</w:t>
      </w:r>
      <w:r w:rsidRPr="00A3548E">
        <w:t xml:space="preserve">, consultants, interns, and volunteers, who perform services for DES, either on the premises of DES, or at some other remote location.  All workforce members must follow these policies and procedures. </w:t>
      </w:r>
    </w:p>
    <w:p w14:paraId="300F0880" w14:textId="77777777" w:rsidR="00D22ECC" w:rsidRDefault="00D22ECC" w:rsidP="00D22ECC">
      <w:pPr>
        <w:tabs>
          <w:tab w:val="left" w:pos="360"/>
        </w:tabs>
        <w:ind w:left="720" w:hanging="1620"/>
      </w:pPr>
    </w:p>
    <w:p w14:paraId="4BC5F489" w14:textId="77777777" w:rsidR="00D22ECC" w:rsidRDefault="00D22ECC" w:rsidP="00D22ECC">
      <w:pPr>
        <w:pBdr>
          <w:top w:val="single" w:sz="8" w:space="1" w:color="auto"/>
        </w:pBdr>
        <w:rPr>
          <w:b/>
        </w:rPr>
      </w:pPr>
    </w:p>
    <w:p w14:paraId="0443040A" w14:textId="77777777" w:rsidR="000A44BB" w:rsidRDefault="00517F35" w:rsidP="00D22ECC">
      <w:pPr>
        <w:ind w:left="720" w:hanging="1440"/>
      </w:pPr>
      <w:r w:rsidRPr="00640BE0">
        <w:rPr>
          <w:b/>
        </w:rPr>
        <w:t>Purpose:</w:t>
      </w:r>
      <w:r w:rsidRPr="00A3548E">
        <w:t xml:space="preserve"> </w:t>
      </w:r>
      <w:r w:rsidRPr="00A3548E">
        <w:tab/>
      </w:r>
    </w:p>
    <w:p w14:paraId="19FEA610" w14:textId="77777777" w:rsidR="009B2AAD" w:rsidRPr="007A080E" w:rsidRDefault="009B2AAD" w:rsidP="009B2AAD">
      <w:pPr>
        <w:pStyle w:val="ListParagraph"/>
        <w:spacing w:after="0"/>
        <w:ind w:left="0"/>
        <w:rPr>
          <w:rFonts w:ascii="Times New Roman" w:hAnsi="Times New Roman"/>
        </w:rPr>
      </w:pPr>
      <w:r w:rsidRPr="007A080E">
        <w:rPr>
          <w:rFonts w:ascii="Times New Roman" w:hAnsi="Times New Roman"/>
        </w:rPr>
        <w:t>State and federal laws and regulations, as well as agreements with clients and owners of PII</w:t>
      </w:r>
      <w:r w:rsidR="00032B8C">
        <w:rPr>
          <w:rFonts w:ascii="Times New Roman" w:hAnsi="Times New Roman"/>
        </w:rPr>
        <w:t xml:space="preserve"> and PHI</w:t>
      </w:r>
      <w:r w:rsidRPr="007A080E">
        <w:rPr>
          <w:rFonts w:ascii="Times New Roman" w:hAnsi="Times New Roman"/>
        </w:rPr>
        <w:t>, obligate DES to protect the confidentiality and security of PII</w:t>
      </w:r>
      <w:r w:rsidR="00032B8C">
        <w:rPr>
          <w:rFonts w:ascii="Times New Roman" w:hAnsi="Times New Roman"/>
        </w:rPr>
        <w:t>/PHI</w:t>
      </w:r>
      <w:r w:rsidRPr="007A080E">
        <w:rPr>
          <w:rFonts w:ascii="Times New Roman" w:hAnsi="Times New Roman"/>
        </w:rPr>
        <w:t>.  Failure to comply with such obligations may result in financial penalties, costs imposed to notify consumers, and reputational harm.</w:t>
      </w:r>
    </w:p>
    <w:p w14:paraId="593570A7" w14:textId="77777777" w:rsidR="009B2AAD" w:rsidRPr="007A080E" w:rsidRDefault="009B2AAD" w:rsidP="009B2AAD">
      <w:pPr>
        <w:pStyle w:val="ListParagraph"/>
        <w:spacing w:after="0"/>
        <w:ind w:left="1080"/>
        <w:rPr>
          <w:rFonts w:ascii="Times New Roman" w:hAnsi="Times New Roman"/>
        </w:rPr>
      </w:pPr>
    </w:p>
    <w:p w14:paraId="722FA363" w14:textId="79695EE0" w:rsidR="009B2AAD" w:rsidRPr="007A080E" w:rsidRDefault="009B2AAD" w:rsidP="009B2AAD">
      <w:pPr>
        <w:pStyle w:val="ListParagraph"/>
        <w:ind w:left="0"/>
        <w:rPr>
          <w:rFonts w:ascii="Times New Roman" w:hAnsi="Times New Roman"/>
          <w:b/>
        </w:rPr>
      </w:pPr>
      <w:r w:rsidRPr="007A080E">
        <w:rPr>
          <w:rFonts w:ascii="Times New Roman" w:hAnsi="Times New Roman"/>
        </w:rPr>
        <w:t>Th</w:t>
      </w:r>
      <w:r w:rsidR="00E654C1">
        <w:rPr>
          <w:rFonts w:ascii="Times New Roman" w:hAnsi="Times New Roman"/>
        </w:rPr>
        <w:t xml:space="preserve">is </w:t>
      </w:r>
      <w:r w:rsidRPr="007A080E">
        <w:rPr>
          <w:rFonts w:ascii="Times New Roman" w:hAnsi="Times New Roman"/>
        </w:rPr>
        <w:t>standard specifies responsibilities of DES workforce members, and places them on notice of potential disciplinary actions and sanctions</w:t>
      </w:r>
      <w:r w:rsidR="00614199" w:rsidRPr="007A080E">
        <w:rPr>
          <w:rFonts w:ascii="Times New Roman" w:hAnsi="Times New Roman"/>
        </w:rPr>
        <w:t xml:space="preserve"> in the event of a</w:t>
      </w:r>
      <w:r w:rsidR="00875581" w:rsidRPr="007A080E">
        <w:rPr>
          <w:rFonts w:ascii="Times New Roman" w:hAnsi="Times New Roman"/>
        </w:rPr>
        <w:t xml:space="preserve">n inadvertent disclosure </w:t>
      </w:r>
      <w:r w:rsidR="00032B8C">
        <w:rPr>
          <w:rFonts w:ascii="Times New Roman" w:hAnsi="Times New Roman"/>
        </w:rPr>
        <w:t>and/</w:t>
      </w:r>
      <w:r w:rsidR="00875581" w:rsidRPr="007A080E">
        <w:rPr>
          <w:rFonts w:ascii="Times New Roman" w:hAnsi="Times New Roman"/>
        </w:rPr>
        <w:t xml:space="preserve">or </w:t>
      </w:r>
      <w:r w:rsidR="00764D38" w:rsidRPr="007A080E">
        <w:rPr>
          <w:rFonts w:ascii="Times New Roman" w:hAnsi="Times New Roman"/>
        </w:rPr>
        <w:t>data s</w:t>
      </w:r>
      <w:r w:rsidR="00875581" w:rsidRPr="007A080E">
        <w:rPr>
          <w:rFonts w:ascii="Times New Roman" w:hAnsi="Times New Roman"/>
        </w:rPr>
        <w:t>ecurity breach involving PII.</w:t>
      </w:r>
      <w:r w:rsidRPr="007A080E">
        <w:rPr>
          <w:rFonts w:ascii="Times New Roman" w:hAnsi="Times New Roman"/>
          <w:b/>
        </w:rPr>
        <w:t xml:space="preserve"> </w:t>
      </w:r>
    </w:p>
    <w:p w14:paraId="289BFC4F" w14:textId="77777777" w:rsidR="00D22ECC" w:rsidRDefault="00D22ECC" w:rsidP="00A3548E"/>
    <w:p w14:paraId="032B398C" w14:textId="77777777" w:rsidR="00D22ECC" w:rsidRPr="00A3548E" w:rsidRDefault="00D22ECC" w:rsidP="00D22ECC">
      <w:pPr>
        <w:pBdr>
          <w:top w:val="single" w:sz="8" w:space="1" w:color="auto"/>
        </w:pBdr>
      </w:pPr>
    </w:p>
    <w:p w14:paraId="606E6B99" w14:textId="7C865711" w:rsidR="00032B8C" w:rsidRDefault="00517F35" w:rsidP="00D22ECC">
      <w:pPr>
        <w:ind w:left="720" w:hanging="1440"/>
        <w:rPr>
          <w:b/>
        </w:rPr>
      </w:pPr>
      <w:r w:rsidRPr="00640BE0">
        <w:rPr>
          <w:b/>
        </w:rPr>
        <w:t>Definitions:</w:t>
      </w:r>
      <w:r w:rsidRPr="00640BE0">
        <w:rPr>
          <w:b/>
        </w:rPr>
        <w:tab/>
      </w:r>
    </w:p>
    <w:p w14:paraId="0722C931" w14:textId="77777777" w:rsidR="00517F35" w:rsidRPr="00A3548E" w:rsidRDefault="00517F35" w:rsidP="00032B8C">
      <w:r w:rsidRPr="00A3548E">
        <w:t>For the purpose of this policy, the terms member or client will refer to an applicant, current member or client, former member or client or deceased member or client</w:t>
      </w:r>
      <w:r w:rsidR="00AB263B">
        <w:t>, or recipient</w:t>
      </w:r>
      <w:r w:rsidRPr="00A3548E">
        <w:t xml:space="preserve"> of any program affiliated in any way with DES.</w:t>
      </w:r>
      <w:r w:rsidR="00131C51">
        <w:t xml:space="preserve">  </w:t>
      </w:r>
    </w:p>
    <w:p w14:paraId="29E21876" w14:textId="77777777" w:rsidR="00047023" w:rsidRDefault="00047023" w:rsidP="00032B8C"/>
    <w:p w14:paraId="2B1AE0F1" w14:textId="3594D5FD" w:rsidR="00FB18FB" w:rsidRDefault="00ED55B4" w:rsidP="00032B8C">
      <w:r>
        <w:t xml:space="preserve">Personally Identifiable Information </w:t>
      </w:r>
      <w:r w:rsidR="002D7F61">
        <w:t>(</w:t>
      </w:r>
      <w:r>
        <w:t>PII</w:t>
      </w:r>
      <w:r w:rsidR="002D7F61">
        <w:t>)</w:t>
      </w:r>
      <w:r>
        <w:t xml:space="preserve"> includes Protected Health Information (PHI)</w:t>
      </w:r>
      <w:r w:rsidR="008652AF">
        <w:t>.</w:t>
      </w:r>
      <w:r>
        <w:t xml:space="preserve"> </w:t>
      </w:r>
      <w:r w:rsidR="00517F35" w:rsidRPr="00A3548E">
        <w:t xml:space="preserve"> </w:t>
      </w:r>
      <w:r w:rsidR="00131C51">
        <w:t xml:space="preserve">PII applies when DES holds data identifying an individual (including applicants and employees) by </w:t>
      </w:r>
      <w:r w:rsidR="00131C51">
        <w:lastRenderedPageBreak/>
        <w:t>first and last name, or first initial and last name, in combination with one or more of the following:  Social Security Number; driver’s license number; state-identification card number; financial account number or credit or debit card number.</w:t>
      </w:r>
      <w:r w:rsidR="00131C51" w:rsidRPr="00C10908">
        <w:t xml:space="preserve"> </w:t>
      </w:r>
    </w:p>
    <w:p w14:paraId="413439CB" w14:textId="77777777" w:rsidR="00FB18FB" w:rsidRDefault="00FB18FB" w:rsidP="00032B8C"/>
    <w:p w14:paraId="0B99FC16" w14:textId="77777777" w:rsidR="00F56C8A" w:rsidRDefault="00131C51" w:rsidP="00032B8C">
      <w:r>
        <w:t xml:space="preserve">PHI </w:t>
      </w:r>
      <w:r w:rsidR="00517F35" w:rsidRPr="00A3548E">
        <w:t xml:space="preserve">means any individually identifiable information regarding a member’s or client’s health, health care or payment for health care, whether in electronic or non-electronic format.  </w:t>
      </w:r>
    </w:p>
    <w:p w14:paraId="2D689B94" w14:textId="77777777" w:rsidR="00CA4A56" w:rsidRDefault="00F56C8A" w:rsidP="009876CE">
      <w:r>
        <w:t xml:space="preserve">PHI includes a </w:t>
      </w:r>
      <w:r w:rsidR="00517F35" w:rsidRPr="00A3548E">
        <w:t>member’s name or social security number, as well as a member's DES case/episode numbers, a member's birth date and date(s) of involvement with DES, diagnosis, claims history, or any part of a member's home address (including town or zip code)</w:t>
      </w:r>
      <w:r w:rsidR="00B915BD">
        <w:t xml:space="preserve"> or telephone or cellphone number(s)</w:t>
      </w:r>
      <w:r w:rsidR="00517F35" w:rsidRPr="00A3548E">
        <w:t xml:space="preserve">.  </w:t>
      </w:r>
    </w:p>
    <w:p w14:paraId="21255076" w14:textId="77777777" w:rsidR="00CA4A56" w:rsidRDefault="00CA4A56" w:rsidP="00D22ECC">
      <w:pPr>
        <w:ind w:left="720"/>
      </w:pPr>
    </w:p>
    <w:p w14:paraId="2F8C9496" w14:textId="77777777" w:rsidR="00E37C7F" w:rsidRDefault="00517F35" w:rsidP="009876CE">
      <w:r w:rsidRPr="00A3548E">
        <w:t>Aggregate data is also</w:t>
      </w:r>
      <w:r w:rsidR="007A080E">
        <w:t xml:space="preserve"> </w:t>
      </w:r>
      <w:r w:rsidRPr="00A3548E">
        <w:t xml:space="preserve">considered PHI unless it is stripped of all identifiers, including geographic subdivisions smaller than a state, all dates other than years, and all zip codes except the first three numbers.  </w:t>
      </w:r>
    </w:p>
    <w:p w14:paraId="3EE05400" w14:textId="77777777" w:rsidR="003A00BD" w:rsidRPr="00A3548E" w:rsidRDefault="003A00BD" w:rsidP="00A3548E"/>
    <w:p w14:paraId="3F0363FC" w14:textId="77777777" w:rsidR="00353996" w:rsidRDefault="003B022B" w:rsidP="00A3548E">
      <w:pPr>
        <w:rPr>
          <w:b/>
        </w:rPr>
      </w:pPr>
      <w:r w:rsidRPr="00353996">
        <w:rPr>
          <w:b/>
        </w:rPr>
        <w:t>Inadvertent</w:t>
      </w:r>
      <w:r w:rsidR="00E70E14" w:rsidRPr="00353996">
        <w:rPr>
          <w:b/>
        </w:rPr>
        <w:t xml:space="preserve"> Disclosure</w:t>
      </w:r>
      <w:r w:rsidR="00D5549D" w:rsidRPr="00353996">
        <w:rPr>
          <w:b/>
        </w:rPr>
        <w:t xml:space="preserve"> of </w:t>
      </w:r>
      <w:r w:rsidR="002E40E4">
        <w:rPr>
          <w:b/>
        </w:rPr>
        <w:t>PII/PHI</w:t>
      </w:r>
    </w:p>
    <w:p w14:paraId="001F882D" w14:textId="77777777" w:rsidR="00D5549D" w:rsidRPr="00353996" w:rsidRDefault="00D5549D" w:rsidP="00A3548E">
      <w:pPr>
        <w:rPr>
          <w:b/>
        </w:rPr>
      </w:pPr>
      <w:r w:rsidRPr="00353996">
        <w:rPr>
          <w:b/>
        </w:rPr>
        <w:tab/>
      </w:r>
    </w:p>
    <w:p w14:paraId="54B7E0B7" w14:textId="0F00A796" w:rsidR="00E70E14" w:rsidRDefault="00D5549D" w:rsidP="004D42FD">
      <w:pPr>
        <w:tabs>
          <w:tab w:val="left" w:pos="720"/>
        </w:tabs>
      </w:pPr>
      <w:r w:rsidRPr="00A3548E">
        <w:t xml:space="preserve">If it </w:t>
      </w:r>
      <w:r w:rsidR="00A3548E" w:rsidRPr="00A3548E">
        <w:t>is</w:t>
      </w:r>
      <w:r w:rsidRPr="00A3548E">
        <w:t xml:space="preserve"> suspected </w:t>
      </w:r>
      <w:r w:rsidR="009876CE">
        <w:t xml:space="preserve">or known </w:t>
      </w:r>
      <w:r w:rsidRPr="00A3548E">
        <w:t xml:space="preserve">that an </w:t>
      </w:r>
      <w:r w:rsidR="003B022B">
        <w:t xml:space="preserve">inadvertent </w:t>
      </w:r>
      <w:r w:rsidRPr="00A3548E">
        <w:t xml:space="preserve">disclosure of PHI occurs, whether verbal or written, </w:t>
      </w:r>
      <w:r w:rsidR="00A3548E" w:rsidRPr="00A3548E">
        <w:t xml:space="preserve">it must be reported </w:t>
      </w:r>
      <w:r w:rsidR="00804A2C">
        <w:t xml:space="preserve">immediately </w:t>
      </w:r>
      <w:r w:rsidR="00A3548E" w:rsidRPr="00A3548E">
        <w:t xml:space="preserve">to the </w:t>
      </w:r>
      <w:r w:rsidR="00CA4A56">
        <w:t xml:space="preserve">workforce member’s </w:t>
      </w:r>
      <w:r w:rsidR="00BB7C8A">
        <w:t>Supervisor, the</w:t>
      </w:r>
      <w:r w:rsidR="00CA4A56">
        <w:t xml:space="preserve"> DES Compliance Liaison</w:t>
      </w:r>
      <w:r w:rsidR="005567A8">
        <w:t>, and Commonwealth Medicine Office of Compliance &amp; Review (CWM OCR)</w:t>
      </w:r>
      <w:r w:rsidR="00CA4A56">
        <w:t xml:space="preserve"> </w:t>
      </w:r>
      <w:r w:rsidR="00122434">
        <w:t xml:space="preserve">for special </w:t>
      </w:r>
      <w:r w:rsidR="00CA4A56">
        <w:t>handling.</w:t>
      </w:r>
      <w:r w:rsidR="00B12011">
        <w:t xml:space="preserve">  </w:t>
      </w:r>
    </w:p>
    <w:p w14:paraId="2D34B96E" w14:textId="77777777" w:rsidR="00F303C0" w:rsidRPr="00A3548E" w:rsidRDefault="00F303C0" w:rsidP="00A3548E"/>
    <w:p w14:paraId="5ABA76DE" w14:textId="77777777" w:rsidR="00A3548E" w:rsidRDefault="00A3548E" w:rsidP="00A3548E">
      <w:r w:rsidRPr="00A3548E">
        <w:t>Examples of</w:t>
      </w:r>
      <w:r w:rsidR="002874F9">
        <w:t xml:space="preserve"> </w:t>
      </w:r>
      <w:r w:rsidR="003B022B">
        <w:t>inadvertent</w:t>
      </w:r>
      <w:r w:rsidR="002874F9">
        <w:t xml:space="preserve"> disclosure of </w:t>
      </w:r>
      <w:r w:rsidR="001B20B2">
        <w:t>PII/</w:t>
      </w:r>
      <w:r w:rsidR="002874F9">
        <w:t>PHI include but are not limited to:</w:t>
      </w:r>
    </w:p>
    <w:p w14:paraId="458DD9EA" w14:textId="4DA08280" w:rsidR="00F303C0" w:rsidRPr="006B783D" w:rsidRDefault="00F303C0" w:rsidP="00A3548E">
      <w:r>
        <w:rPr>
          <w:b/>
        </w:rPr>
        <w:t xml:space="preserve">          </w:t>
      </w:r>
      <w:r w:rsidR="004D42FD">
        <w:rPr>
          <w:b/>
        </w:rPr>
        <w:t xml:space="preserve"> </w:t>
      </w:r>
      <w:r w:rsidR="00047023">
        <w:rPr>
          <w:b/>
        </w:rPr>
        <w:t xml:space="preserve"> </w:t>
      </w:r>
      <w:r w:rsidRPr="006B783D">
        <w:t>Transmission of non-secure email</w:t>
      </w:r>
    </w:p>
    <w:p w14:paraId="6DEDC3AA" w14:textId="77777777" w:rsidR="002874F9" w:rsidRDefault="00F303C0" w:rsidP="00A3548E">
      <w:r>
        <w:rPr>
          <w:b/>
        </w:rPr>
        <w:t xml:space="preserve">           </w:t>
      </w:r>
      <w:r w:rsidR="006F5559">
        <w:rPr>
          <w:b/>
        </w:rPr>
        <w:t xml:space="preserve"> </w:t>
      </w:r>
      <w:r w:rsidR="002874F9">
        <w:t>Faxing PHI to the wrong fax number</w:t>
      </w:r>
    </w:p>
    <w:p w14:paraId="557852E8" w14:textId="77777777" w:rsidR="002874F9" w:rsidRDefault="002874F9" w:rsidP="00A3548E">
      <w:r>
        <w:tab/>
        <w:t>Improper disposal of PHI</w:t>
      </w:r>
    </w:p>
    <w:p w14:paraId="04117BC1" w14:textId="77777777" w:rsidR="002874F9" w:rsidRDefault="002874F9" w:rsidP="00A3548E">
      <w:r>
        <w:tab/>
        <w:t>Improper protection of case files (leaving files in inappropriate areas)</w:t>
      </w:r>
    </w:p>
    <w:p w14:paraId="2DC55D0D" w14:textId="77777777" w:rsidR="00F303C0" w:rsidRDefault="002874F9" w:rsidP="00A3548E">
      <w:r>
        <w:tab/>
      </w:r>
      <w:r w:rsidR="006F5559" w:rsidRPr="004B41F7">
        <w:t>Improper verification of recipient’s identification</w:t>
      </w:r>
    </w:p>
    <w:p w14:paraId="078F8F92" w14:textId="77777777" w:rsidR="001A416A" w:rsidRDefault="001A416A" w:rsidP="001A416A">
      <w:pPr>
        <w:ind w:left="720"/>
      </w:pPr>
      <w:r>
        <w:t>Documents containing PHI mailed to the wrong address</w:t>
      </w:r>
    </w:p>
    <w:p w14:paraId="29839155" w14:textId="77777777" w:rsidR="002E40E4" w:rsidRDefault="002E40E4" w:rsidP="00A3548E"/>
    <w:p w14:paraId="376B33AF" w14:textId="77777777" w:rsidR="002E40E4" w:rsidRPr="001A416A" w:rsidRDefault="002E40E4" w:rsidP="00A3548E">
      <w:pPr>
        <w:rPr>
          <w:b/>
        </w:rPr>
      </w:pPr>
      <w:r w:rsidRPr="001A416A">
        <w:rPr>
          <w:b/>
        </w:rPr>
        <w:t>Data Security Breach of PII/PHI</w:t>
      </w:r>
    </w:p>
    <w:p w14:paraId="26AA9731" w14:textId="77777777" w:rsidR="00C0722E" w:rsidRDefault="00C0722E" w:rsidP="00A3548E"/>
    <w:p w14:paraId="79770BBD" w14:textId="77777777" w:rsidR="00804A2C" w:rsidRDefault="00C0722E" w:rsidP="00804A2C">
      <w:pPr>
        <w:tabs>
          <w:tab w:val="left" w:pos="720"/>
        </w:tabs>
      </w:pPr>
      <w:r>
        <w:t>If it is suspected or know</w:t>
      </w:r>
      <w:r w:rsidR="004E1378">
        <w:t>n</w:t>
      </w:r>
      <w:r>
        <w:t xml:space="preserve"> that a data security breach </w:t>
      </w:r>
      <w:r w:rsidR="00DB6BF2">
        <w:t xml:space="preserve">of </w:t>
      </w:r>
      <w:r>
        <w:t xml:space="preserve">the electronic </w:t>
      </w:r>
      <w:r w:rsidR="00DB6BF2">
        <w:t xml:space="preserve">data </w:t>
      </w:r>
      <w:r>
        <w:t>systems used by U</w:t>
      </w:r>
      <w:r w:rsidR="00DB6BF2">
        <w:t>M</w:t>
      </w:r>
      <w:r>
        <w:t xml:space="preserve">ass, CWM </w:t>
      </w:r>
      <w:r w:rsidR="00DB6BF2">
        <w:t>and/</w:t>
      </w:r>
      <w:r>
        <w:t>or DES</w:t>
      </w:r>
      <w:r w:rsidR="00DB6BF2">
        <w:t xml:space="preserve">, our subcontractors, or </w:t>
      </w:r>
      <w:r w:rsidR="001A416A">
        <w:t xml:space="preserve">our customers </w:t>
      </w:r>
      <w:r w:rsidR="00804A2C">
        <w:t xml:space="preserve">involving PII/PHI has occurred, </w:t>
      </w:r>
      <w:r w:rsidR="00804A2C" w:rsidRPr="00A3548E">
        <w:t xml:space="preserve">it must be reported </w:t>
      </w:r>
      <w:r w:rsidR="00804A2C">
        <w:t xml:space="preserve">immediately </w:t>
      </w:r>
      <w:r w:rsidR="00804A2C" w:rsidRPr="00A3548E">
        <w:t xml:space="preserve">to the </w:t>
      </w:r>
      <w:r w:rsidR="00804A2C">
        <w:t>workforce member’s Supervisor</w:t>
      </w:r>
      <w:r w:rsidR="005567A8">
        <w:t>,</w:t>
      </w:r>
      <w:r w:rsidR="00804A2C">
        <w:t xml:space="preserve"> the DES Compliance Liaison</w:t>
      </w:r>
      <w:r w:rsidR="005567A8">
        <w:t xml:space="preserve">, and </w:t>
      </w:r>
      <w:r w:rsidR="002E10D2">
        <w:t xml:space="preserve">OoM </w:t>
      </w:r>
      <w:r w:rsidR="005567A8">
        <w:t>for special</w:t>
      </w:r>
      <w:r w:rsidR="00804A2C">
        <w:t xml:space="preserve"> handling.</w:t>
      </w:r>
    </w:p>
    <w:p w14:paraId="670A42CD" w14:textId="77777777" w:rsidR="00C0722E" w:rsidRDefault="00C0722E" w:rsidP="00A3548E"/>
    <w:p w14:paraId="0FB1971B" w14:textId="77777777" w:rsidR="0054153C" w:rsidRDefault="0054153C" w:rsidP="00A3548E">
      <w:r>
        <w:t xml:space="preserve">Examples of </w:t>
      </w:r>
      <w:r w:rsidR="001B20B2">
        <w:t>a data security breach of PII/PHI include but are not limited to:</w:t>
      </w:r>
    </w:p>
    <w:p w14:paraId="2AFE981D" w14:textId="77777777" w:rsidR="001B20B2" w:rsidRDefault="001B20B2" w:rsidP="00A3548E"/>
    <w:p w14:paraId="041E57F2" w14:textId="77777777" w:rsidR="00B76200" w:rsidRDefault="005567A8">
      <w:pPr>
        <w:ind w:left="720"/>
      </w:pPr>
      <w:r>
        <w:t>Loss or theft of a computer, laptop, smart phone, or other mobile device containing PII or PHI</w:t>
      </w:r>
    </w:p>
    <w:p w14:paraId="1B20965D" w14:textId="77777777" w:rsidR="005567A8" w:rsidRDefault="005567A8">
      <w:pPr>
        <w:ind w:left="720"/>
      </w:pPr>
      <w:r>
        <w:t>Loss or theft of a portable storage device (external hard drive, thumb drive, etc) containing PII or PHI</w:t>
      </w:r>
    </w:p>
    <w:p w14:paraId="4C353125" w14:textId="77777777" w:rsidR="005567A8" w:rsidRDefault="005567A8">
      <w:pPr>
        <w:ind w:left="720"/>
      </w:pPr>
      <w:r>
        <w:t>Loss or destruction of paper case files transported or located off site</w:t>
      </w:r>
    </w:p>
    <w:p w14:paraId="2FAB3D99" w14:textId="77777777" w:rsidR="00BB7C8A" w:rsidRDefault="00BB7C8A">
      <w:pPr>
        <w:ind w:left="720"/>
      </w:pPr>
    </w:p>
    <w:p w14:paraId="3F399CA9" w14:textId="77777777" w:rsidR="00047023" w:rsidRDefault="00047023" w:rsidP="00BB7C8A">
      <w:pPr>
        <w:rPr>
          <w:b/>
        </w:rPr>
      </w:pPr>
    </w:p>
    <w:p w14:paraId="5766D24C" w14:textId="0FB21E1B" w:rsidR="00BB7C8A" w:rsidRDefault="00BB7C8A" w:rsidP="00BB7C8A">
      <w:pPr>
        <w:rPr>
          <w:b/>
        </w:rPr>
      </w:pPr>
      <w:r>
        <w:rPr>
          <w:b/>
        </w:rPr>
        <w:t>Procedure:</w:t>
      </w:r>
    </w:p>
    <w:p w14:paraId="1E9EA4E6" w14:textId="77777777" w:rsidR="00BB7C8A" w:rsidRDefault="00BB7C8A" w:rsidP="00BB7C8A">
      <w:pPr>
        <w:rPr>
          <w:b/>
        </w:rPr>
      </w:pPr>
    </w:p>
    <w:p w14:paraId="6107D888" w14:textId="77777777" w:rsidR="00BB7C8A" w:rsidRDefault="00BB7C8A" w:rsidP="00BB7C8A">
      <w:r>
        <w:t>In the event that an inadvertent disclosure of PII/PHI is discovered (through whatever means, i.e. staff discovery, phone call from recipient of disclosure, letter, etc.) staff must:</w:t>
      </w:r>
    </w:p>
    <w:p w14:paraId="050AC89B" w14:textId="77777777" w:rsidR="00BB7C8A" w:rsidRDefault="00BB7C8A" w:rsidP="00BB7C8A"/>
    <w:p w14:paraId="34979F5C" w14:textId="39322A47" w:rsidR="00B12011" w:rsidRDefault="00BB7C8A" w:rsidP="00BB7C8A">
      <w:pPr>
        <w:pStyle w:val="ListParagraph"/>
        <w:numPr>
          <w:ilvl w:val="0"/>
          <w:numId w:val="15"/>
        </w:numPr>
        <w:rPr>
          <w:rFonts w:ascii="Times New Roman" w:hAnsi="Times New Roman"/>
          <w:sz w:val="24"/>
          <w:szCs w:val="24"/>
        </w:rPr>
      </w:pPr>
      <w:r w:rsidRPr="00D31AF0">
        <w:rPr>
          <w:rFonts w:ascii="Times New Roman" w:hAnsi="Times New Roman"/>
          <w:sz w:val="24"/>
          <w:szCs w:val="24"/>
        </w:rPr>
        <w:t xml:space="preserve">Notify their </w:t>
      </w:r>
      <w:r w:rsidR="005E3058">
        <w:rPr>
          <w:rFonts w:ascii="Times New Roman" w:hAnsi="Times New Roman"/>
          <w:sz w:val="24"/>
          <w:szCs w:val="24"/>
        </w:rPr>
        <w:t>M</w:t>
      </w:r>
      <w:r w:rsidRPr="00D31AF0">
        <w:rPr>
          <w:rFonts w:ascii="Times New Roman" w:hAnsi="Times New Roman"/>
          <w:sz w:val="24"/>
          <w:szCs w:val="24"/>
        </w:rPr>
        <w:t xml:space="preserve">anager </w:t>
      </w:r>
      <w:r w:rsidR="00B12011">
        <w:rPr>
          <w:rFonts w:ascii="Times New Roman" w:hAnsi="Times New Roman"/>
          <w:sz w:val="24"/>
          <w:szCs w:val="24"/>
        </w:rPr>
        <w:t>(</w:t>
      </w:r>
      <w:r w:rsidR="00B12011" w:rsidRPr="00B12011">
        <w:rPr>
          <w:rFonts w:ascii="Times New Roman" w:hAnsi="Times New Roman"/>
          <w:color w:val="FF0000"/>
          <w:sz w:val="24"/>
          <w:szCs w:val="24"/>
        </w:rPr>
        <w:t>or in their absence the DES Compliance Liaison</w:t>
      </w:r>
      <w:r w:rsidR="00B12011">
        <w:rPr>
          <w:rFonts w:ascii="Times New Roman" w:hAnsi="Times New Roman"/>
          <w:color w:val="FF0000"/>
          <w:sz w:val="24"/>
          <w:szCs w:val="24"/>
        </w:rPr>
        <w:t>)</w:t>
      </w:r>
      <w:r w:rsidR="00B12011">
        <w:rPr>
          <w:rFonts w:ascii="Times New Roman" w:hAnsi="Times New Roman"/>
          <w:sz w:val="24"/>
          <w:szCs w:val="24"/>
        </w:rPr>
        <w:t xml:space="preserve">, </w:t>
      </w:r>
      <w:r w:rsidRPr="00D31AF0">
        <w:rPr>
          <w:rFonts w:ascii="Times New Roman" w:hAnsi="Times New Roman"/>
          <w:sz w:val="24"/>
          <w:szCs w:val="24"/>
          <w:u w:val="single"/>
        </w:rPr>
        <w:t>immediately</w:t>
      </w:r>
      <w:r w:rsidRPr="00D31AF0">
        <w:rPr>
          <w:rFonts w:ascii="Times New Roman" w:hAnsi="Times New Roman"/>
          <w:sz w:val="24"/>
          <w:szCs w:val="24"/>
        </w:rPr>
        <w:t xml:space="preserve"> upon discovery of the inadvertent disclosure.</w:t>
      </w:r>
      <w:r w:rsidR="00B12011">
        <w:rPr>
          <w:rFonts w:ascii="Times New Roman" w:hAnsi="Times New Roman"/>
          <w:sz w:val="24"/>
          <w:szCs w:val="24"/>
        </w:rPr>
        <w:t xml:space="preserve">  </w:t>
      </w:r>
    </w:p>
    <w:p w14:paraId="32BB0867" w14:textId="77777777" w:rsidR="00B12011" w:rsidRDefault="00B12011" w:rsidP="00B12011">
      <w:pPr>
        <w:rPr>
          <w:b/>
          <w:color w:val="FF0000"/>
          <w:szCs w:val="24"/>
        </w:rPr>
      </w:pPr>
      <w:r w:rsidRPr="00B12011">
        <w:rPr>
          <w:b/>
          <w:color w:val="FF0000"/>
          <w:szCs w:val="24"/>
        </w:rPr>
        <w:t>Note:  Immediate notification is critical so that potential adverse penalties for failure of DES to respond in a timely manner  are avoided.</w:t>
      </w:r>
    </w:p>
    <w:p w14:paraId="7C6B47C3" w14:textId="548CA5A2" w:rsidR="00CB6CD0" w:rsidRPr="00B12011" w:rsidRDefault="00727CCA" w:rsidP="00B12011">
      <w:pPr>
        <w:rPr>
          <w:b/>
          <w:color w:val="FF0000"/>
          <w:szCs w:val="24"/>
        </w:rPr>
      </w:pPr>
      <w:r w:rsidRPr="00B12011">
        <w:rPr>
          <w:b/>
          <w:color w:val="FF0000"/>
          <w:szCs w:val="24"/>
        </w:rPr>
        <w:t xml:space="preserve">  </w:t>
      </w:r>
    </w:p>
    <w:p w14:paraId="09BE9BB5" w14:textId="4C22ED9E" w:rsidR="00BB7C8A" w:rsidRDefault="00727CCA" w:rsidP="00BB7C8A">
      <w:pPr>
        <w:pStyle w:val="ListParagraph"/>
        <w:numPr>
          <w:ilvl w:val="0"/>
          <w:numId w:val="15"/>
        </w:numPr>
        <w:rPr>
          <w:rFonts w:ascii="Times New Roman" w:hAnsi="Times New Roman"/>
          <w:sz w:val="24"/>
          <w:szCs w:val="24"/>
        </w:rPr>
      </w:pPr>
      <w:r>
        <w:rPr>
          <w:rFonts w:ascii="Times New Roman" w:hAnsi="Times New Roman"/>
          <w:sz w:val="24"/>
          <w:szCs w:val="24"/>
        </w:rPr>
        <w:t>The responsible Manager consult</w:t>
      </w:r>
      <w:r w:rsidR="004B6401">
        <w:rPr>
          <w:rFonts w:ascii="Times New Roman" w:hAnsi="Times New Roman"/>
          <w:sz w:val="24"/>
          <w:szCs w:val="24"/>
        </w:rPr>
        <w:t>s</w:t>
      </w:r>
      <w:r>
        <w:rPr>
          <w:rFonts w:ascii="Times New Roman" w:hAnsi="Times New Roman"/>
          <w:sz w:val="24"/>
          <w:szCs w:val="24"/>
        </w:rPr>
        <w:t xml:space="preserve"> with the DES Compliance Liaison </w:t>
      </w:r>
      <w:r w:rsidR="004B6401">
        <w:rPr>
          <w:rFonts w:ascii="Times New Roman" w:hAnsi="Times New Roman"/>
          <w:sz w:val="24"/>
          <w:szCs w:val="24"/>
        </w:rPr>
        <w:t>, throughout the process.</w:t>
      </w:r>
    </w:p>
    <w:p w14:paraId="1313F9C3" w14:textId="133D9A36" w:rsidR="00873D9C" w:rsidRDefault="004B6401" w:rsidP="00BB7C8A">
      <w:pPr>
        <w:pStyle w:val="ListParagraph"/>
        <w:numPr>
          <w:ilvl w:val="0"/>
          <w:numId w:val="15"/>
        </w:numPr>
        <w:rPr>
          <w:rFonts w:ascii="Times New Roman" w:hAnsi="Times New Roman"/>
          <w:sz w:val="24"/>
          <w:szCs w:val="24"/>
        </w:rPr>
      </w:pPr>
      <w:r>
        <w:rPr>
          <w:rFonts w:ascii="Times New Roman" w:hAnsi="Times New Roman"/>
          <w:sz w:val="24"/>
          <w:szCs w:val="24"/>
        </w:rPr>
        <w:t>The Manager t</w:t>
      </w:r>
      <w:r w:rsidR="00A67944" w:rsidRPr="00D31AF0">
        <w:rPr>
          <w:rFonts w:ascii="Times New Roman" w:hAnsi="Times New Roman"/>
          <w:sz w:val="24"/>
          <w:szCs w:val="24"/>
        </w:rPr>
        <w:t>ake</w:t>
      </w:r>
      <w:r>
        <w:rPr>
          <w:rFonts w:ascii="Times New Roman" w:hAnsi="Times New Roman"/>
          <w:sz w:val="24"/>
          <w:szCs w:val="24"/>
        </w:rPr>
        <w:t>s</w:t>
      </w:r>
      <w:r w:rsidR="00A67944" w:rsidRPr="00D31AF0">
        <w:rPr>
          <w:rFonts w:ascii="Times New Roman" w:hAnsi="Times New Roman"/>
          <w:sz w:val="24"/>
          <w:szCs w:val="24"/>
        </w:rPr>
        <w:t xml:space="preserve"> all possible steps to retrieve the PII/PHI (if sent in error to an external source) for review and destruction</w:t>
      </w:r>
      <w:r w:rsidR="00CB6CD0">
        <w:rPr>
          <w:rFonts w:ascii="Times New Roman" w:hAnsi="Times New Roman"/>
          <w:sz w:val="24"/>
          <w:szCs w:val="24"/>
        </w:rPr>
        <w:t xml:space="preserve"> as guided by the UMass OoM </w:t>
      </w:r>
      <w:r w:rsidR="00CB6CD0" w:rsidRPr="00272987">
        <w:rPr>
          <w:rFonts w:ascii="Times New Roman" w:hAnsi="Times New Roman"/>
          <w:b/>
          <w:sz w:val="24"/>
          <w:szCs w:val="24"/>
        </w:rPr>
        <w:t>Disclosure Report</w:t>
      </w:r>
      <w:r w:rsidR="00527D9A">
        <w:rPr>
          <w:rFonts w:ascii="Times New Roman" w:hAnsi="Times New Roman"/>
          <w:sz w:val="24"/>
          <w:szCs w:val="24"/>
        </w:rPr>
        <w:t>.</w:t>
      </w:r>
    </w:p>
    <w:p w14:paraId="31AB443D" w14:textId="1CEA4E51" w:rsidR="00873D9C" w:rsidRDefault="00873D9C" w:rsidP="00BB7C8A">
      <w:pPr>
        <w:pStyle w:val="ListParagraph"/>
        <w:numPr>
          <w:ilvl w:val="0"/>
          <w:numId w:val="15"/>
        </w:numPr>
        <w:rPr>
          <w:rFonts w:ascii="Times New Roman" w:hAnsi="Times New Roman"/>
          <w:sz w:val="24"/>
          <w:szCs w:val="24"/>
        </w:rPr>
      </w:pPr>
      <w:r>
        <w:rPr>
          <w:rFonts w:ascii="Times New Roman" w:hAnsi="Times New Roman"/>
          <w:sz w:val="24"/>
          <w:szCs w:val="24"/>
        </w:rPr>
        <w:t xml:space="preserve">If the recipient agrees to destroy the disclosure, the Manager sends the recipient the UMass OoM </w:t>
      </w:r>
      <w:r w:rsidRPr="00272987">
        <w:rPr>
          <w:rFonts w:ascii="Times New Roman" w:hAnsi="Times New Roman"/>
          <w:b/>
          <w:sz w:val="24"/>
          <w:szCs w:val="24"/>
        </w:rPr>
        <w:t>Confirmation of Destruction Form</w:t>
      </w:r>
      <w:r>
        <w:rPr>
          <w:rFonts w:ascii="Times New Roman" w:hAnsi="Times New Roman"/>
          <w:sz w:val="24"/>
          <w:szCs w:val="24"/>
        </w:rPr>
        <w:t xml:space="preserve"> to complete and return.</w:t>
      </w:r>
    </w:p>
    <w:p w14:paraId="1265A7BD" w14:textId="30DE8096" w:rsidR="00873D9C" w:rsidRDefault="00873D9C" w:rsidP="00873D9C">
      <w:pPr>
        <w:pStyle w:val="ListParagraph"/>
        <w:numPr>
          <w:ilvl w:val="0"/>
          <w:numId w:val="15"/>
        </w:numPr>
        <w:rPr>
          <w:rFonts w:ascii="Times New Roman" w:hAnsi="Times New Roman"/>
          <w:sz w:val="24"/>
          <w:szCs w:val="24"/>
        </w:rPr>
      </w:pPr>
      <w:r>
        <w:rPr>
          <w:rFonts w:ascii="Times New Roman" w:hAnsi="Times New Roman"/>
          <w:sz w:val="24"/>
          <w:szCs w:val="24"/>
        </w:rPr>
        <w:t xml:space="preserve">The Manager completes the UMass OoM </w:t>
      </w:r>
      <w:r w:rsidRPr="00192CAD">
        <w:rPr>
          <w:rFonts w:ascii="Times New Roman" w:hAnsi="Times New Roman"/>
          <w:b/>
          <w:sz w:val="24"/>
          <w:szCs w:val="24"/>
        </w:rPr>
        <w:t>Disclosure Report</w:t>
      </w:r>
      <w:r>
        <w:rPr>
          <w:rFonts w:ascii="Times New Roman" w:hAnsi="Times New Roman"/>
          <w:sz w:val="24"/>
          <w:szCs w:val="24"/>
        </w:rPr>
        <w:t xml:space="preserve"> including a copy of the disclosure, if available</w:t>
      </w:r>
      <w:r w:rsidR="00272987">
        <w:rPr>
          <w:rFonts w:ascii="Times New Roman" w:hAnsi="Times New Roman"/>
          <w:sz w:val="24"/>
          <w:szCs w:val="24"/>
        </w:rPr>
        <w:t>,</w:t>
      </w:r>
      <w:r>
        <w:rPr>
          <w:rFonts w:ascii="Times New Roman" w:hAnsi="Times New Roman"/>
          <w:sz w:val="24"/>
          <w:szCs w:val="24"/>
        </w:rPr>
        <w:t xml:space="preserve"> and forwards the final report to the DES Compliance Liaison.</w:t>
      </w:r>
      <w:r w:rsidR="00272987">
        <w:rPr>
          <w:rFonts w:ascii="Times New Roman" w:hAnsi="Times New Roman"/>
          <w:sz w:val="24"/>
          <w:szCs w:val="24"/>
        </w:rPr>
        <w:t xml:space="preserve">  Whether </w:t>
      </w:r>
      <w:r w:rsidR="005E3058">
        <w:rPr>
          <w:rFonts w:ascii="Times New Roman" w:hAnsi="Times New Roman"/>
          <w:sz w:val="24"/>
          <w:szCs w:val="24"/>
        </w:rPr>
        <w:t xml:space="preserve">the disclosure is by </w:t>
      </w:r>
      <w:r w:rsidR="00272987">
        <w:rPr>
          <w:rFonts w:ascii="Times New Roman" w:hAnsi="Times New Roman"/>
          <w:sz w:val="24"/>
          <w:szCs w:val="24"/>
        </w:rPr>
        <w:t xml:space="preserve">fax, email or mail, the steps taken and the outcome of efforts to retrieve or verify destruction should be recorded in detail </w:t>
      </w:r>
      <w:r w:rsidR="004A16E2">
        <w:rPr>
          <w:rFonts w:ascii="Times New Roman" w:hAnsi="Times New Roman"/>
          <w:sz w:val="24"/>
          <w:szCs w:val="24"/>
        </w:rPr>
        <w:t>as required by</w:t>
      </w:r>
      <w:r w:rsidR="00272987">
        <w:rPr>
          <w:rFonts w:ascii="Times New Roman" w:hAnsi="Times New Roman"/>
          <w:sz w:val="24"/>
          <w:szCs w:val="24"/>
        </w:rPr>
        <w:t xml:space="preserve"> the Disclosure Report.  </w:t>
      </w:r>
    </w:p>
    <w:p w14:paraId="5677769F" w14:textId="77777777" w:rsidR="004A16E2" w:rsidRDefault="00873D9C" w:rsidP="00873D9C">
      <w:pPr>
        <w:pStyle w:val="ListParagraph"/>
        <w:numPr>
          <w:ilvl w:val="0"/>
          <w:numId w:val="15"/>
        </w:numPr>
        <w:rPr>
          <w:rFonts w:ascii="Times New Roman" w:hAnsi="Times New Roman"/>
          <w:sz w:val="24"/>
          <w:szCs w:val="24"/>
        </w:rPr>
      </w:pPr>
      <w:r>
        <w:rPr>
          <w:rFonts w:ascii="Times New Roman" w:hAnsi="Times New Roman"/>
          <w:sz w:val="24"/>
          <w:szCs w:val="24"/>
        </w:rPr>
        <w:t>The DES Compliance Liaison, in turn</w:t>
      </w:r>
      <w:r w:rsidR="004A16E2">
        <w:rPr>
          <w:rFonts w:ascii="Times New Roman" w:hAnsi="Times New Roman"/>
          <w:sz w:val="24"/>
          <w:szCs w:val="24"/>
        </w:rPr>
        <w:t>,</w:t>
      </w:r>
      <w:r>
        <w:rPr>
          <w:rFonts w:ascii="Times New Roman" w:hAnsi="Times New Roman"/>
          <w:sz w:val="24"/>
          <w:szCs w:val="24"/>
        </w:rPr>
        <w:t xml:space="preserve"> forwards the relevant material to OoM.  </w:t>
      </w:r>
    </w:p>
    <w:p w14:paraId="75B54AF2" w14:textId="372D0DCE" w:rsidR="00873D9C" w:rsidRDefault="00873D9C" w:rsidP="00873D9C">
      <w:pPr>
        <w:pStyle w:val="ListParagraph"/>
        <w:numPr>
          <w:ilvl w:val="0"/>
          <w:numId w:val="15"/>
        </w:numPr>
        <w:rPr>
          <w:rFonts w:ascii="Times New Roman" w:hAnsi="Times New Roman"/>
          <w:sz w:val="24"/>
          <w:szCs w:val="24"/>
        </w:rPr>
      </w:pPr>
      <w:r>
        <w:rPr>
          <w:rFonts w:ascii="Times New Roman" w:hAnsi="Times New Roman"/>
          <w:sz w:val="24"/>
          <w:szCs w:val="24"/>
        </w:rPr>
        <w:t>The DES Compliance Liaison will be the contact for any OoM questions or requests for clarifications.</w:t>
      </w:r>
    </w:p>
    <w:p w14:paraId="5122F08B" w14:textId="77777777" w:rsidR="00CB4281" w:rsidRDefault="00CB4281" w:rsidP="00CB4281">
      <w:r>
        <w:t>Failure to comply with the policies and procedures set forth in this Procedural Standard may result in disciplinary action, up to and including termination of employment.</w:t>
      </w:r>
      <w:r w:rsidR="00091B39">
        <w:t xml:space="preserve">  In some circumstances, violations may be grounds for civil action or criminal prosecution.  In addition, DES may be liable for any penalties imposed by the US Department of Health and Human Services Office of Civil Rights in regard to the inadvertent disclosure.</w:t>
      </w:r>
    </w:p>
    <w:p w14:paraId="4472ECF2" w14:textId="77777777" w:rsidR="00CB4281" w:rsidRDefault="00CB4281" w:rsidP="00CB4281"/>
    <w:p w14:paraId="5B3CF847" w14:textId="10F50F1C" w:rsidR="00CB4281" w:rsidRPr="005E3058" w:rsidRDefault="00CB4281" w:rsidP="00906DD2">
      <w:pPr>
        <w:rPr>
          <w:szCs w:val="24"/>
        </w:rPr>
      </w:pPr>
      <w:r w:rsidRPr="005E3058">
        <w:rPr>
          <w:szCs w:val="24"/>
        </w:rPr>
        <w:t>The manager supervising the staff person responsible for the inadvertent disclosure</w:t>
      </w:r>
      <w:r w:rsidR="001418F1" w:rsidRPr="005E3058">
        <w:rPr>
          <w:szCs w:val="24"/>
        </w:rPr>
        <w:t>, in consultation with the DES Compliance Liaison</w:t>
      </w:r>
      <w:r w:rsidR="00906DD2" w:rsidRPr="005E3058">
        <w:rPr>
          <w:szCs w:val="24"/>
        </w:rPr>
        <w:t>,</w:t>
      </w:r>
      <w:r w:rsidRPr="005E3058">
        <w:rPr>
          <w:szCs w:val="24"/>
        </w:rPr>
        <w:t xml:space="preserve"> will </w:t>
      </w:r>
      <w:r w:rsidR="001418F1" w:rsidRPr="005E3058">
        <w:rPr>
          <w:szCs w:val="24"/>
        </w:rPr>
        <w:t xml:space="preserve">also </w:t>
      </w:r>
      <w:r w:rsidRPr="005E3058">
        <w:rPr>
          <w:szCs w:val="24"/>
        </w:rPr>
        <w:t>review the incident and take necessary corrective action, which may include:</w:t>
      </w:r>
    </w:p>
    <w:p w14:paraId="4D0DAA76" w14:textId="77777777" w:rsidR="00CB4281" w:rsidRPr="005E3058" w:rsidRDefault="00CB4281" w:rsidP="00906DD2">
      <w:pPr>
        <w:pStyle w:val="ListParagraph"/>
        <w:numPr>
          <w:ilvl w:val="0"/>
          <w:numId w:val="16"/>
        </w:numPr>
        <w:rPr>
          <w:rFonts w:ascii="Times New Roman" w:hAnsi="Times New Roman"/>
          <w:sz w:val="24"/>
          <w:szCs w:val="24"/>
        </w:rPr>
      </w:pPr>
      <w:r w:rsidRPr="005E3058">
        <w:rPr>
          <w:rFonts w:ascii="Times New Roman" w:hAnsi="Times New Roman"/>
          <w:sz w:val="24"/>
          <w:szCs w:val="24"/>
        </w:rPr>
        <w:t>Retraining</w:t>
      </w:r>
    </w:p>
    <w:p w14:paraId="20515593" w14:textId="77777777" w:rsidR="00CB4281" w:rsidRPr="005E3058" w:rsidRDefault="00CB4281" w:rsidP="00906DD2">
      <w:pPr>
        <w:pStyle w:val="ListParagraph"/>
        <w:numPr>
          <w:ilvl w:val="0"/>
          <w:numId w:val="16"/>
        </w:numPr>
        <w:rPr>
          <w:rFonts w:ascii="Times New Roman" w:hAnsi="Times New Roman"/>
          <w:sz w:val="24"/>
          <w:szCs w:val="24"/>
        </w:rPr>
      </w:pPr>
      <w:r w:rsidRPr="005E3058">
        <w:rPr>
          <w:rFonts w:ascii="Times New Roman" w:hAnsi="Times New Roman"/>
          <w:sz w:val="24"/>
          <w:szCs w:val="24"/>
        </w:rPr>
        <w:t>Review of process to determine any corrective root cause issues</w:t>
      </w:r>
    </w:p>
    <w:p w14:paraId="6B4CA0AC" w14:textId="147C60E9" w:rsidR="00CB4281" w:rsidRPr="005E3058" w:rsidRDefault="001418F1" w:rsidP="00906DD2">
      <w:pPr>
        <w:pStyle w:val="ListParagraph"/>
        <w:numPr>
          <w:ilvl w:val="0"/>
          <w:numId w:val="16"/>
        </w:numPr>
        <w:rPr>
          <w:rFonts w:ascii="Times New Roman" w:hAnsi="Times New Roman"/>
          <w:sz w:val="24"/>
          <w:szCs w:val="24"/>
        </w:rPr>
      </w:pPr>
      <w:r w:rsidRPr="005E3058">
        <w:rPr>
          <w:rFonts w:ascii="Times New Roman" w:hAnsi="Times New Roman"/>
          <w:sz w:val="24"/>
          <w:szCs w:val="24"/>
        </w:rPr>
        <w:t>Provid</w:t>
      </w:r>
      <w:r w:rsidR="00906DD2" w:rsidRPr="005E3058">
        <w:rPr>
          <w:rFonts w:ascii="Times New Roman" w:hAnsi="Times New Roman"/>
          <w:sz w:val="24"/>
          <w:szCs w:val="24"/>
        </w:rPr>
        <w:t>ing</w:t>
      </w:r>
      <w:r w:rsidRPr="005E3058">
        <w:rPr>
          <w:rFonts w:ascii="Times New Roman" w:hAnsi="Times New Roman"/>
          <w:sz w:val="24"/>
          <w:szCs w:val="24"/>
        </w:rPr>
        <w:t xml:space="preserve"> c</w:t>
      </w:r>
      <w:r w:rsidR="00CB4281" w:rsidRPr="005E3058">
        <w:rPr>
          <w:rFonts w:ascii="Times New Roman" w:hAnsi="Times New Roman"/>
          <w:sz w:val="24"/>
          <w:szCs w:val="24"/>
        </w:rPr>
        <w:t>lose supervision as indicated</w:t>
      </w:r>
    </w:p>
    <w:p w14:paraId="75BCD021" w14:textId="27D9FC8A" w:rsidR="00CB4281" w:rsidRDefault="00CB4281" w:rsidP="00906DD2">
      <w:pPr>
        <w:pStyle w:val="ListParagraph"/>
        <w:numPr>
          <w:ilvl w:val="0"/>
          <w:numId w:val="16"/>
        </w:numPr>
        <w:rPr>
          <w:rFonts w:ascii="Times New Roman" w:hAnsi="Times New Roman"/>
          <w:sz w:val="24"/>
          <w:szCs w:val="24"/>
        </w:rPr>
      </w:pPr>
      <w:r w:rsidRPr="005E3058">
        <w:rPr>
          <w:rFonts w:ascii="Times New Roman" w:hAnsi="Times New Roman"/>
          <w:sz w:val="24"/>
          <w:szCs w:val="24"/>
        </w:rPr>
        <w:t>If warranted, disciplinary action up to and including termination of employment</w:t>
      </w:r>
      <w:r w:rsidR="005E3058">
        <w:rPr>
          <w:rFonts w:ascii="Times New Roman" w:hAnsi="Times New Roman"/>
          <w:sz w:val="24"/>
          <w:szCs w:val="24"/>
        </w:rPr>
        <w:t>.</w:t>
      </w:r>
    </w:p>
    <w:p w14:paraId="70BA101C" w14:textId="77777777" w:rsidR="005E3058" w:rsidRPr="005E3058" w:rsidRDefault="005E3058" w:rsidP="005E3058">
      <w:pPr>
        <w:pStyle w:val="ListParagraph"/>
        <w:rPr>
          <w:rFonts w:ascii="Times New Roman" w:hAnsi="Times New Roman"/>
          <w:sz w:val="24"/>
          <w:szCs w:val="24"/>
        </w:rPr>
      </w:pPr>
    </w:p>
    <w:p w14:paraId="2200DBCA" w14:textId="4CB46D7D" w:rsidR="003919A3" w:rsidRPr="003919A3" w:rsidRDefault="00DD50FA" w:rsidP="00395E63">
      <w:pPr>
        <w:pStyle w:val="ListParagraph"/>
        <w:ind w:left="90"/>
        <w:rPr>
          <w:rFonts w:ascii="Times New Roman" w:hAnsi="Times New Roman"/>
          <w:sz w:val="24"/>
          <w:szCs w:val="24"/>
        </w:rPr>
      </w:pPr>
      <w:r w:rsidRPr="00D30B0E">
        <w:rPr>
          <w:rFonts w:ascii="Times New Roman" w:hAnsi="Times New Roman"/>
          <w:i/>
        </w:rPr>
        <w:t xml:space="preserve">Note:  </w:t>
      </w:r>
      <w:r w:rsidR="00BB3389" w:rsidRPr="00D30B0E">
        <w:rPr>
          <w:rFonts w:ascii="Times New Roman" w:hAnsi="Times New Roman"/>
          <w:i/>
        </w:rPr>
        <w:t xml:space="preserve">References to </w:t>
      </w:r>
      <w:r w:rsidRPr="00D30B0E">
        <w:rPr>
          <w:rFonts w:ascii="Times New Roman" w:hAnsi="Times New Roman"/>
          <w:i/>
        </w:rPr>
        <w:t xml:space="preserve">OoM in this </w:t>
      </w:r>
      <w:r w:rsidR="00BB3389" w:rsidRPr="00D30B0E">
        <w:rPr>
          <w:rFonts w:ascii="Times New Roman" w:hAnsi="Times New Roman"/>
          <w:i/>
        </w:rPr>
        <w:t>standard are to the UMMS Compliance and Privacy Officer or their designee.</w:t>
      </w:r>
      <w:r w:rsidR="003919A3" w:rsidRPr="00D30B0E">
        <w:rPr>
          <w:rFonts w:ascii="Times New Roman" w:hAnsi="Times New Roman"/>
          <w:i/>
        </w:rPr>
        <w:t xml:space="preserve">  </w:t>
      </w:r>
      <w:r w:rsidR="003919A3" w:rsidRPr="00D30B0E">
        <w:rPr>
          <w:rFonts w:ascii="Times New Roman" w:hAnsi="Times New Roman"/>
          <w:i/>
          <w:sz w:val="24"/>
          <w:szCs w:val="24"/>
        </w:rPr>
        <w:t>The most current version of the</w:t>
      </w:r>
      <w:r w:rsidR="003F1BEC" w:rsidRPr="00D30B0E">
        <w:rPr>
          <w:rFonts w:ascii="Times New Roman" w:hAnsi="Times New Roman"/>
          <w:i/>
          <w:sz w:val="24"/>
          <w:szCs w:val="24"/>
        </w:rPr>
        <w:t xml:space="preserve"> </w:t>
      </w:r>
      <w:r w:rsidR="003919A3" w:rsidRPr="00D30B0E">
        <w:rPr>
          <w:rFonts w:ascii="Times New Roman" w:hAnsi="Times New Roman"/>
          <w:i/>
          <w:sz w:val="24"/>
          <w:szCs w:val="24"/>
        </w:rPr>
        <w:t>forms cited above can be found on the OoM website.</w:t>
      </w:r>
      <w:r w:rsidR="003919A3" w:rsidRPr="003919A3">
        <w:rPr>
          <w:rFonts w:ascii="Times New Roman" w:hAnsi="Times New Roman"/>
          <w:sz w:val="24"/>
          <w:szCs w:val="24"/>
        </w:rPr>
        <w:t xml:space="preserve">  </w:t>
      </w:r>
      <w:hyperlink r:id="rId8" w:history="1">
        <w:r w:rsidR="001418F1" w:rsidRPr="00B81674">
          <w:rPr>
            <w:rStyle w:val="Hyperlink"/>
            <w:rFonts w:ascii="Times New Roman" w:hAnsi="Times New Roman"/>
            <w:sz w:val="24"/>
            <w:szCs w:val="24"/>
          </w:rPr>
          <w:t>https://www.umassmed.edu/officeofmanagement/policies-standards-and-documents/</w:t>
        </w:r>
      </w:hyperlink>
      <w:r w:rsidR="001418F1">
        <w:rPr>
          <w:rFonts w:ascii="Times New Roman" w:hAnsi="Times New Roman"/>
          <w:sz w:val="24"/>
          <w:szCs w:val="24"/>
        </w:rPr>
        <w:t xml:space="preserve">  </w:t>
      </w:r>
    </w:p>
    <w:p w14:paraId="15FCA3A9" w14:textId="77777777" w:rsidR="00EF0001" w:rsidRDefault="004875B1" w:rsidP="005E3058">
      <w:pPr>
        <w:pBdr>
          <w:bottom w:val="single" w:sz="12" w:space="1" w:color="auto"/>
        </w:pBdr>
        <w:tabs>
          <w:tab w:val="left" w:pos="2160"/>
        </w:tabs>
        <w:ind w:left="90" w:right="-1080"/>
      </w:pPr>
      <w:r>
        <w:rPr>
          <w:b/>
        </w:rPr>
        <w:tab/>
      </w:r>
      <w:r>
        <w:rPr>
          <w:b/>
        </w:rPr>
        <w:tab/>
      </w:r>
      <w:r>
        <w:rPr>
          <w:b/>
        </w:rPr>
        <w:tab/>
      </w:r>
      <w:r>
        <w:rPr>
          <w:b/>
        </w:rPr>
        <w:tab/>
      </w:r>
      <w:r>
        <w:rPr>
          <w:b/>
        </w:rPr>
        <w:tab/>
      </w:r>
    </w:p>
    <w:p w14:paraId="181F449E" w14:textId="77777777" w:rsidR="00EF0001" w:rsidRDefault="00EF0001" w:rsidP="00EF0001">
      <w:pPr>
        <w:ind w:left="1440" w:right="-1080"/>
      </w:pPr>
    </w:p>
    <w:p w14:paraId="1763865F" w14:textId="2F418964" w:rsidR="00D30B0E" w:rsidRDefault="00EF0001" w:rsidP="00003055">
      <w:pPr>
        <w:ind w:left="90" w:right="-1080" w:hanging="810"/>
        <w:rPr>
          <w:b/>
        </w:rPr>
      </w:pPr>
      <w:r>
        <w:rPr>
          <w:b/>
        </w:rPr>
        <w:t>Summary:</w:t>
      </w:r>
    </w:p>
    <w:p w14:paraId="31AFC044" w14:textId="6216A2B4" w:rsidR="00AE4DD2" w:rsidRPr="009F6F2E" w:rsidRDefault="00D45567" w:rsidP="00E654C1">
      <w:pPr>
        <w:ind w:right="-1080"/>
        <w:rPr>
          <w:b/>
        </w:rPr>
      </w:pPr>
      <w:r>
        <w:t xml:space="preserve">This PS describes the DES </w:t>
      </w:r>
      <w:r w:rsidR="00824E10">
        <w:t xml:space="preserve">procedures </w:t>
      </w:r>
      <w:r>
        <w:t xml:space="preserve">related to </w:t>
      </w:r>
      <w:r w:rsidR="00824E10">
        <w:t xml:space="preserve"> inadvertent disclosures and data breaches </w:t>
      </w:r>
      <w:r w:rsidR="0003004A">
        <w:t xml:space="preserve">of </w:t>
      </w:r>
      <w:r w:rsidR="00824E10">
        <w:t>PI/PHI</w:t>
      </w:r>
      <w:r>
        <w:t xml:space="preserve">. </w:t>
      </w:r>
      <w:r w:rsidR="00824E10">
        <w:t xml:space="preserve">  </w:t>
      </w:r>
      <w:r w:rsidR="004904A0">
        <w:t xml:space="preserve">DES </w:t>
      </w:r>
      <w:r w:rsidR="00D046B7">
        <w:t xml:space="preserve">staff </w:t>
      </w:r>
      <w:r>
        <w:t xml:space="preserve">are </w:t>
      </w:r>
      <w:r w:rsidR="004904A0">
        <w:t xml:space="preserve">responsible to </w:t>
      </w:r>
      <w:r w:rsidR="007262F5">
        <w:t xml:space="preserve">immediately </w:t>
      </w:r>
      <w:r w:rsidR="004904A0">
        <w:t>report</w:t>
      </w:r>
      <w:r w:rsidR="00AF38D7">
        <w:t xml:space="preserve"> </w:t>
      </w:r>
      <w:r w:rsidR="00D046B7">
        <w:t xml:space="preserve">such incidents </w:t>
      </w:r>
      <w:r w:rsidR="00AF38D7">
        <w:t xml:space="preserve">and </w:t>
      </w:r>
      <w:r w:rsidR="00D046B7">
        <w:t xml:space="preserve">to </w:t>
      </w:r>
      <w:r w:rsidR="00AF38D7">
        <w:t xml:space="preserve">attempt to </w:t>
      </w:r>
      <w:r w:rsidR="00D046B7">
        <w:t>recover the documents and/or document their safe destruction by the recipient</w:t>
      </w:r>
      <w:r w:rsidR="00707E88">
        <w:t>.</w:t>
      </w:r>
      <w:r w:rsidR="007262F5">
        <w:t xml:space="preserve">  </w:t>
      </w:r>
      <w:r w:rsidR="00707E88">
        <w:t>DES</w:t>
      </w:r>
      <w:r w:rsidR="00AF38D7">
        <w:t xml:space="preserve"> is </w:t>
      </w:r>
      <w:r w:rsidR="009F151E">
        <w:t xml:space="preserve">also </w:t>
      </w:r>
      <w:r w:rsidR="00AF38D7">
        <w:t xml:space="preserve">required </w:t>
      </w:r>
      <w:r w:rsidR="004C65C9">
        <w:t xml:space="preserve">now </w:t>
      </w:r>
      <w:r w:rsidR="00C55F5A">
        <w:t xml:space="preserve">to </w:t>
      </w:r>
      <w:r w:rsidR="00707E88">
        <w:t>report on the ou</w:t>
      </w:r>
      <w:r w:rsidR="00C55F5A">
        <w:t>tcome of corr</w:t>
      </w:r>
      <w:r w:rsidR="009F151E">
        <w:t>ection and notification efforts and provide follow up systems analysis and training to prevent future occurrences</w:t>
      </w:r>
    </w:p>
    <w:sectPr w:rsidR="00AE4DD2" w:rsidRPr="009F6F2E" w:rsidSect="00756D97">
      <w:footerReference w:type="default" r:id="rId9"/>
      <w:headerReference w:type="first" r:id="rId10"/>
      <w:footerReference w:type="firs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0AB6" w14:textId="77777777" w:rsidR="006E08E3" w:rsidRDefault="006E08E3" w:rsidP="003A2636">
      <w:r>
        <w:separator/>
      </w:r>
    </w:p>
  </w:endnote>
  <w:endnote w:type="continuationSeparator" w:id="0">
    <w:p w14:paraId="435F9973" w14:textId="77777777" w:rsidR="006E08E3" w:rsidRDefault="006E08E3" w:rsidP="003A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B68F" w14:textId="77777777" w:rsidR="00C67861" w:rsidRDefault="00C67861">
    <w:pPr>
      <w:pStyle w:val="Footer"/>
      <w:jc w:val="right"/>
    </w:pPr>
  </w:p>
  <w:p w14:paraId="06FD5250" w14:textId="6710B1FD" w:rsidR="00C67861" w:rsidRDefault="00C67861" w:rsidP="00DD2D77">
    <w:pPr>
      <w:pStyle w:val="Footer"/>
    </w:pPr>
    <w:r>
      <w:tab/>
    </w:r>
    <w:sdt>
      <w:sdtPr>
        <w:id w:val="275984624"/>
        <w:docPartObj>
          <w:docPartGallery w:val="Page Numbers (Top of Page)"/>
          <w:docPartUnique/>
        </w:docPartObj>
      </w:sdtPr>
      <w:sdtEndPr/>
      <w:sdtContent>
        <w:r>
          <w:tab/>
        </w:r>
      </w:sdtContent>
    </w:sdt>
  </w:p>
  <w:p w14:paraId="3F4B69AE" w14:textId="77777777" w:rsidR="00C67861" w:rsidRDefault="00C6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B023" w14:textId="77777777" w:rsidR="00B72085" w:rsidRDefault="00B72085" w:rsidP="00B72085">
    <w:pPr>
      <w:rPr>
        <w:rStyle w:val="PageNumber"/>
        <w:i/>
        <w:snapToGrid w:val="0"/>
      </w:rPr>
    </w:pPr>
  </w:p>
  <w:p w14:paraId="2C51A7BE" w14:textId="2717FA07" w:rsidR="00651781" w:rsidRPr="00D31AF0" w:rsidRDefault="00651781" w:rsidP="00B72085">
    <w:pPr>
      <w:rPr>
        <w:i/>
        <w:color w:val="FF0000"/>
      </w:rPr>
    </w:pPr>
    <w:r w:rsidRPr="00650BB0">
      <w:rPr>
        <w:rStyle w:val="PageNumber"/>
        <w:i/>
        <w:snapToGrid w:val="0"/>
      </w:rPr>
      <w:t>Revision #</w:t>
    </w:r>
    <w:r>
      <w:rPr>
        <w:rStyle w:val="PageNumber"/>
        <w:i/>
        <w:snapToGrid w:val="0"/>
      </w:rPr>
      <w:t>2</w:t>
    </w:r>
    <w:r w:rsidRPr="00650BB0">
      <w:rPr>
        <w:rStyle w:val="PageNumber"/>
        <w:i/>
        <w:snapToGrid w:val="0"/>
      </w:rPr>
      <w:t xml:space="preserve">.  Supersedes PS </w:t>
    </w:r>
    <w:r>
      <w:rPr>
        <w:rStyle w:val="PageNumber"/>
        <w:i/>
        <w:snapToGrid w:val="0"/>
      </w:rPr>
      <w:t>04-01</w:t>
    </w:r>
    <w:r w:rsidRPr="00650BB0">
      <w:rPr>
        <w:rStyle w:val="PageNumber"/>
        <w:i/>
        <w:snapToGrid w:val="0"/>
      </w:rPr>
      <w:t xml:space="preserve"> “</w:t>
    </w:r>
    <w:r>
      <w:rPr>
        <w:rStyle w:val="PageNumber"/>
        <w:i/>
        <w:snapToGrid w:val="0"/>
      </w:rPr>
      <w:t>DES Data Protection Policies and Procedures: Inadvertent Disclosure of PHI” originally issued May 5, 2004 and “</w:t>
    </w:r>
    <w:r w:rsidRPr="00D31AF0">
      <w:rPr>
        <w:i/>
      </w:rPr>
      <w:t>Data Security Breach and/or Inadvertent Disclosure of Personally Identifiable Information (PII) including Protected Health Information (PHI)</w:t>
    </w:r>
    <w:r>
      <w:rPr>
        <w:i/>
      </w:rPr>
      <w:t>” dated July 22, 2013.</w:t>
    </w:r>
  </w:p>
  <w:p w14:paraId="6E29A633" w14:textId="3A066B50" w:rsidR="00651781" w:rsidRDefault="00651781">
    <w:pPr>
      <w:pStyle w:val="Footer"/>
    </w:pPr>
  </w:p>
  <w:p w14:paraId="439DC500" w14:textId="77777777" w:rsidR="00E654C1" w:rsidRDefault="00E6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F350" w14:textId="77777777" w:rsidR="006E08E3" w:rsidRDefault="006E08E3" w:rsidP="003A2636">
      <w:r>
        <w:separator/>
      </w:r>
    </w:p>
  </w:footnote>
  <w:footnote w:type="continuationSeparator" w:id="0">
    <w:p w14:paraId="60E5E1C5" w14:textId="77777777" w:rsidR="006E08E3" w:rsidRDefault="006E08E3" w:rsidP="003A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9569" w14:textId="77777777" w:rsidR="00C67861" w:rsidRDefault="00C67861">
    <w:pPr>
      <w:pStyle w:val="Header"/>
    </w:pPr>
    <w:r>
      <w:rPr>
        <w:noProof/>
      </w:rPr>
      <mc:AlternateContent>
        <mc:Choice Requires="wps">
          <w:drawing>
            <wp:anchor distT="0" distB="0" distL="114300" distR="114300" simplePos="0" relativeHeight="251657216" behindDoc="1" locked="0" layoutInCell="0" allowOverlap="1" wp14:anchorId="58DC2412" wp14:editId="1060A600">
              <wp:simplePos x="0" y="0"/>
              <wp:positionH relativeFrom="margin">
                <wp:align>center</wp:align>
              </wp:positionH>
              <wp:positionV relativeFrom="margin">
                <wp:align>center</wp:align>
              </wp:positionV>
              <wp:extent cx="5801360" cy="2320290"/>
              <wp:effectExtent l="0" t="1476375" r="0" b="133731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D1135" w14:textId="77777777" w:rsidR="00C67861" w:rsidRDefault="00C67861" w:rsidP="00D14D1E">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DC2412" id="_x0000_t202" coordsize="21600,21600" o:spt="202" path="m,l,21600r21600,l21600,xe">
              <v:stroke joinstyle="miter"/>
              <v:path gradientshapeok="t" o:connecttype="rect"/>
            </v:shapetype>
            <v:shape id="WordArt 4" o:spid="_x0000_s1026" type="#_x0000_t202" style="position:absolute;margin-left:0;margin-top:0;width:456.8pt;height:182.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xP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" o:allowincell="f" filled="f" stroked="f">
              <v:stroke joinstyle="round"/>
              <o:lock v:ext="edit" shapetype="t"/>
              <v:textbox style="mso-fit-shape-to-text:t">
                <w:txbxContent>
                  <w:p w14:paraId="66CD1135" w14:textId="77777777" w:rsidR="00C67861" w:rsidRDefault="00C67861" w:rsidP="00D14D1E">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153"/>
    <w:multiLevelType w:val="multilevel"/>
    <w:tmpl w:val="81308422"/>
    <w:lvl w:ilvl="0">
      <w:start w:val="1"/>
      <w:numFmt w:val="decimal"/>
      <w:lvlText w:val="%1."/>
      <w:lvlJc w:val="left"/>
      <w:pPr>
        <w:tabs>
          <w:tab w:val="num" w:pos="1080"/>
        </w:tabs>
        <w:ind w:left="1080" w:hanging="360"/>
      </w:pPr>
      <w:rPr>
        <w:rFonts w:hint="default"/>
        <w:color w:val="auto"/>
      </w:rPr>
    </w:lvl>
    <w:lvl w:ilvl="1">
      <w:start w:val="1"/>
      <w:numFmt w:val="bullet"/>
      <w:lvlText w:val="o"/>
      <w:lvlJc w:val="left"/>
      <w:pPr>
        <w:tabs>
          <w:tab w:val="num" w:pos="1800"/>
        </w:tabs>
        <w:ind w:left="1800" w:hanging="360"/>
      </w:pPr>
      <w:rPr>
        <w:rFonts w:ascii="Courier New" w:hAnsi="Courier New"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B0EE5"/>
    <w:multiLevelType w:val="hybridMultilevel"/>
    <w:tmpl w:val="46E6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62D1"/>
    <w:multiLevelType w:val="hybridMultilevel"/>
    <w:tmpl w:val="79DA0CFA"/>
    <w:lvl w:ilvl="0" w:tplc="43E2B1C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FB4E71"/>
    <w:multiLevelType w:val="hybridMultilevel"/>
    <w:tmpl w:val="0D8877DA"/>
    <w:lvl w:ilvl="0" w:tplc="46603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C0685"/>
    <w:multiLevelType w:val="hybridMultilevel"/>
    <w:tmpl w:val="9CBEC148"/>
    <w:lvl w:ilvl="0" w:tplc="5DACEFB4">
      <w:start w:val="1"/>
      <w:numFmt w:val="decimal"/>
      <w:lvlText w:val="%1."/>
      <w:lvlJc w:val="left"/>
      <w:pPr>
        <w:tabs>
          <w:tab w:val="num" w:pos="1080"/>
        </w:tabs>
        <w:ind w:left="1080" w:hanging="360"/>
      </w:pPr>
      <w:rPr>
        <w:rFonts w:hint="default"/>
        <w:b w:val="0"/>
        <w:strike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55432D"/>
    <w:multiLevelType w:val="hybridMultilevel"/>
    <w:tmpl w:val="AF76A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0A3B"/>
    <w:multiLevelType w:val="hybridMultilevel"/>
    <w:tmpl w:val="5EB497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45B60E6"/>
    <w:multiLevelType w:val="hybridMultilevel"/>
    <w:tmpl w:val="C55CE732"/>
    <w:lvl w:ilvl="0" w:tplc="2FE4BA4E">
      <w:start w:val="1"/>
      <w:numFmt w:val="decimal"/>
      <w:lvlText w:val="%1."/>
      <w:lvlJc w:val="left"/>
      <w:pPr>
        <w:tabs>
          <w:tab w:val="num" w:pos="1080"/>
        </w:tabs>
        <w:ind w:left="1080" w:hanging="360"/>
      </w:pPr>
      <w:rPr>
        <w:rFonts w:hint="default"/>
        <w:strike w:val="0"/>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2F3E5B"/>
    <w:multiLevelType w:val="hybridMultilevel"/>
    <w:tmpl w:val="AF76A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5817"/>
    <w:multiLevelType w:val="hybridMultilevel"/>
    <w:tmpl w:val="70340D0A"/>
    <w:lvl w:ilvl="0" w:tplc="46603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E39CE"/>
    <w:multiLevelType w:val="hybridMultilevel"/>
    <w:tmpl w:val="7932160C"/>
    <w:lvl w:ilvl="0" w:tplc="C8CCE984">
      <w:start w:val="6"/>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255F51"/>
    <w:multiLevelType w:val="hybridMultilevel"/>
    <w:tmpl w:val="F8464C80"/>
    <w:lvl w:ilvl="0" w:tplc="04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AA448B"/>
    <w:multiLevelType w:val="hybridMultilevel"/>
    <w:tmpl w:val="FEEC5D8C"/>
    <w:lvl w:ilvl="0" w:tplc="46603C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275502"/>
    <w:multiLevelType w:val="hybridMultilevel"/>
    <w:tmpl w:val="885E2190"/>
    <w:lvl w:ilvl="0" w:tplc="46603C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F16F76"/>
    <w:multiLevelType w:val="multilevel"/>
    <w:tmpl w:val="8572CF1E"/>
    <w:lvl w:ilvl="0">
      <w:start w:val="1"/>
      <w:numFmt w:val="decimal"/>
      <w:lvlText w:val="%1."/>
      <w:lvlJc w:val="left"/>
      <w:pPr>
        <w:tabs>
          <w:tab w:val="num" w:pos="1080"/>
        </w:tabs>
        <w:ind w:left="1080" w:hanging="360"/>
      </w:pPr>
      <w:rPr>
        <w:rFonts w:hint="default"/>
        <w:b w:val="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45908E9"/>
    <w:multiLevelType w:val="hybridMultilevel"/>
    <w:tmpl w:val="892CCAFE"/>
    <w:lvl w:ilvl="0" w:tplc="F8EE61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2B7916"/>
    <w:multiLevelType w:val="hybridMultilevel"/>
    <w:tmpl w:val="B3BE2F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344594"/>
    <w:multiLevelType w:val="hybridMultilevel"/>
    <w:tmpl w:val="0450B41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11"/>
  </w:num>
  <w:num w:numId="6">
    <w:abstractNumId w:val="7"/>
  </w:num>
  <w:num w:numId="7">
    <w:abstractNumId w:val="17"/>
  </w:num>
  <w:num w:numId="8">
    <w:abstractNumId w:val="10"/>
  </w:num>
  <w:num w:numId="9">
    <w:abstractNumId w:val="0"/>
  </w:num>
  <w:num w:numId="10">
    <w:abstractNumId w:val="15"/>
  </w:num>
  <w:num w:numId="11">
    <w:abstractNumId w:val="4"/>
  </w:num>
  <w:num w:numId="12">
    <w:abstractNumId w:val="9"/>
  </w:num>
  <w:num w:numId="13">
    <w:abstractNumId w:val="13"/>
  </w:num>
  <w:num w:numId="14">
    <w:abstractNumId w:val="14"/>
  </w:num>
  <w:num w:numId="15">
    <w:abstractNumId w:val="1"/>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59"/>
    <w:rsid w:val="00003055"/>
    <w:rsid w:val="0000789A"/>
    <w:rsid w:val="000117AD"/>
    <w:rsid w:val="00020AD2"/>
    <w:rsid w:val="00024A40"/>
    <w:rsid w:val="0003004A"/>
    <w:rsid w:val="00032B8C"/>
    <w:rsid w:val="000350FF"/>
    <w:rsid w:val="00035E6C"/>
    <w:rsid w:val="00047023"/>
    <w:rsid w:val="0007209F"/>
    <w:rsid w:val="00082A09"/>
    <w:rsid w:val="00091B39"/>
    <w:rsid w:val="00096D2C"/>
    <w:rsid w:val="000A26FB"/>
    <w:rsid w:val="000A44BB"/>
    <w:rsid w:val="001128D8"/>
    <w:rsid w:val="00122434"/>
    <w:rsid w:val="00131C51"/>
    <w:rsid w:val="00134DA6"/>
    <w:rsid w:val="001418F1"/>
    <w:rsid w:val="001502B3"/>
    <w:rsid w:val="00154A01"/>
    <w:rsid w:val="00162C75"/>
    <w:rsid w:val="001866B5"/>
    <w:rsid w:val="00186989"/>
    <w:rsid w:val="001A416A"/>
    <w:rsid w:val="001A5B2A"/>
    <w:rsid w:val="001B20B2"/>
    <w:rsid w:val="001B4B0C"/>
    <w:rsid w:val="00211A0D"/>
    <w:rsid w:val="00234304"/>
    <w:rsid w:val="0023756C"/>
    <w:rsid w:val="0025402C"/>
    <w:rsid w:val="00272987"/>
    <w:rsid w:val="00274B38"/>
    <w:rsid w:val="00276ED6"/>
    <w:rsid w:val="00287334"/>
    <w:rsid w:val="002874F9"/>
    <w:rsid w:val="002B0235"/>
    <w:rsid w:val="002D0B98"/>
    <w:rsid w:val="002D7F61"/>
    <w:rsid w:val="002E10D2"/>
    <w:rsid w:val="002E40E4"/>
    <w:rsid w:val="002E5608"/>
    <w:rsid w:val="002F0D5A"/>
    <w:rsid w:val="002F253F"/>
    <w:rsid w:val="0030491E"/>
    <w:rsid w:val="0031152A"/>
    <w:rsid w:val="00342D8B"/>
    <w:rsid w:val="00353996"/>
    <w:rsid w:val="00383D4B"/>
    <w:rsid w:val="00385DE7"/>
    <w:rsid w:val="00385F84"/>
    <w:rsid w:val="003919A3"/>
    <w:rsid w:val="00395E63"/>
    <w:rsid w:val="003A00BD"/>
    <w:rsid w:val="003A1486"/>
    <w:rsid w:val="003A2636"/>
    <w:rsid w:val="003A63DD"/>
    <w:rsid w:val="003B022B"/>
    <w:rsid w:val="003E5D9D"/>
    <w:rsid w:val="003E6BCB"/>
    <w:rsid w:val="003F1BEC"/>
    <w:rsid w:val="00420BE5"/>
    <w:rsid w:val="0048573B"/>
    <w:rsid w:val="00486F59"/>
    <w:rsid w:val="004875B1"/>
    <w:rsid w:val="004904A0"/>
    <w:rsid w:val="004A16E2"/>
    <w:rsid w:val="004B41F7"/>
    <w:rsid w:val="004B6401"/>
    <w:rsid w:val="004C65C9"/>
    <w:rsid w:val="004D42FD"/>
    <w:rsid w:val="004E1378"/>
    <w:rsid w:val="004F73FB"/>
    <w:rsid w:val="005053EA"/>
    <w:rsid w:val="00517F35"/>
    <w:rsid w:val="00527D9A"/>
    <w:rsid w:val="0054153C"/>
    <w:rsid w:val="005567A8"/>
    <w:rsid w:val="00561331"/>
    <w:rsid w:val="0056665C"/>
    <w:rsid w:val="005727A1"/>
    <w:rsid w:val="005866B3"/>
    <w:rsid w:val="005953E1"/>
    <w:rsid w:val="005E3058"/>
    <w:rsid w:val="00614199"/>
    <w:rsid w:val="00640BE0"/>
    <w:rsid w:val="00651781"/>
    <w:rsid w:val="00681C25"/>
    <w:rsid w:val="00687EDF"/>
    <w:rsid w:val="006B783D"/>
    <w:rsid w:val="006C6066"/>
    <w:rsid w:val="006D023B"/>
    <w:rsid w:val="006D12A4"/>
    <w:rsid w:val="006E08E3"/>
    <w:rsid w:val="006E5230"/>
    <w:rsid w:val="006F2EC7"/>
    <w:rsid w:val="006F5559"/>
    <w:rsid w:val="00707E88"/>
    <w:rsid w:val="007262F5"/>
    <w:rsid w:val="00727CCA"/>
    <w:rsid w:val="00750AB3"/>
    <w:rsid w:val="00756D97"/>
    <w:rsid w:val="00764D38"/>
    <w:rsid w:val="007650A0"/>
    <w:rsid w:val="0077631E"/>
    <w:rsid w:val="00781DA1"/>
    <w:rsid w:val="007848C5"/>
    <w:rsid w:val="007A080E"/>
    <w:rsid w:val="007A6816"/>
    <w:rsid w:val="007B066E"/>
    <w:rsid w:val="007E3B0D"/>
    <w:rsid w:val="007F1D1D"/>
    <w:rsid w:val="007F739E"/>
    <w:rsid w:val="00804A2C"/>
    <w:rsid w:val="00824E10"/>
    <w:rsid w:val="008563E7"/>
    <w:rsid w:val="008652AF"/>
    <w:rsid w:val="00873D9C"/>
    <w:rsid w:val="00875581"/>
    <w:rsid w:val="0088067C"/>
    <w:rsid w:val="00886993"/>
    <w:rsid w:val="008E22E6"/>
    <w:rsid w:val="008E3DDF"/>
    <w:rsid w:val="00906DD2"/>
    <w:rsid w:val="00907A4E"/>
    <w:rsid w:val="00931858"/>
    <w:rsid w:val="0095115F"/>
    <w:rsid w:val="0097294A"/>
    <w:rsid w:val="00974EA3"/>
    <w:rsid w:val="009876CE"/>
    <w:rsid w:val="009A1839"/>
    <w:rsid w:val="009B2636"/>
    <w:rsid w:val="009B2AAD"/>
    <w:rsid w:val="009F151E"/>
    <w:rsid w:val="009F6F2E"/>
    <w:rsid w:val="009F6F47"/>
    <w:rsid w:val="00A14619"/>
    <w:rsid w:val="00A3548E"/>
    <w:rsid w:val="00A5245D"/>
    <w:rsid w:val="00A67944"/>
    <w:rsid w:val="00A70FD0"/>
    <w:rsid w:val="00A85015"/>
    <w:rsid w:val="00AB263B"/>
    <w:rsid w:val="00AC45FA"/>
    <w:rsid w:val="00AC460A"/>
    <w:rsid w:val="00AD3A6E"/>
    <w:rsid w:val="00AE0368"/>
    <w:rsid w:val="00AE4DD2"/>
    <w:rsid w:val="00AE5CA5"/>
    <w:rsid w:val="00AF1D18"/>
    <w:rsid w:val="00AF1FF5"/>
    <w:rsid w:val="00AF38D7"/>
    <w:rsid w:val="00B12011"/>
    <w:rsid w:val="00B560EF"/>
    <w:rsid w:val="00B65DAA"/>
    <w:rsid w:val="00B66B51"/>
    <w:rsid w:val="00B72085"/>
    <w:rsid w:val="00B754B9"/>
    <w:rsid w:val="00B76200"/>
    <w:rsid w:val="00B86891"/>
    <w:rsid w:val="00B915BD"/>
    <w:rsid w:val="00BB3389"/>
    <w:rsid w:val="00BB7C8A"/>
    <w:rsid w:val="00C0722E"/>
    <w:rsid w:val="00C368C8"/>
    <w:rsid w:val="00C55F5A"/>
    <w:rsid w:val="00C6701D"/>
    <w:rsid w:val="00C67861"/>
    <w:rsid w:val="00C70C01"/>
    <w:rsid w:val="00C7503B"/>
    <w:rsid w:val="00CA4A56"/>
    <w:rsid w:val="00CB339E"/>
    <w:rsid w:val="00CB4281"/>
    <w:rsid w:val="00CB6CD0"/>
    <w:rsid w:val="00CC34CD"/>
    <w:rsid w:val="00CC7A35"/>
    <w:rsid w:val="00CD5941"/>
    <w:rsid w:val="00CF259B"/>
    <w:rsid w:val="00D046B7"/>
    <w:rsid w:val="00D14D1E"/>
    <w:rsid w:val="00D22ECC"/>
    <w:rsid w:val="00D30B0E"/>
    <w:rsid w:val="00D31AF0"/>
    <w:rsid w:val="00D40198"/>
    <w:rsid w:val="00D44ED3"/>
    <w:rsid w:val="00D45567"/>
    <w:rsid w:val="00D5511C"/>
    <w:rsid w:val="00D5549D"/>
    <w:rsid w:val="00D8650F"/>
    <w:rsid w:val="00D90C7B"/>
    <w:rsid w:val="00D945D2"/>
    <w:rsid w:val="00DB6BF2"/>
    <w:rsid w:val="00DD2D77"/>
    <w:rsid w:val="00DD50FA"/>
    <w:rsid w:val="00E37C7F"/>
    <w:rsid w:val="00E650AF"/>
    <w:rsid w:val="00E654C1"/>
    <w:rsid w:val="00E70E14"/>
    <w:rsid w:val="00EB496F"/>
    <w:rsid w:val="00ED248D"/>
    <w:rsid w:val="00ED55B4"/>
    <w:rsid w:val="00EF0001"/>
    <w:rsid w:val="00F303C0"/>
    <w:rsid w:val="00F54760"/>
    <w:rsid w:val="00F56C8A"/>
    <w:rsid w:val="00F76A77"/>
    <w:rsid w:val="00FA2759"/>
    <w:rsid w:val="00FB18FB"/>
    <w:rsid w:val="00FB5AE7"/>
    <w:rsid w:val="00FC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823AA8"/>
  <w15:docId w15:val="{E3A553F6-1FB1-41E8-A21C-C40C1095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F35"/>
    <w:rPr>
      <w:sz w:val="24"/>
    </w:rPr>
  </w:style>
  <w:style w:type="paragraph" w:styleId="Heading3">
    <w:name w:val="heading 3"/>
    <w:basedOn w:val="Normal"/>
    <w:next w:val="Normal"/>
    <w:link w:val="Heading3Char"/>
    <w:qFormat/>
    <w:rsid w:val="00B560EF"/>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517F35"/>
    <w:pPr>
      <w:keepLines/>
      <w:tabs>
        <w:tab w:val="left" w:pos="1560"/>
      </w:tabs>
      <w:spacing w:after="0" w:line="415" w:lineRule="atLeast"/>
      <w:ind w:left="1560" w:right="-360" w:hanging="720"/>
    </w:pPr>
    <w:rPr>
      <w:sz w:val="20"/>
    </w:rPr>
  </w:style>
  <w:style w:type="paragraph" w:styleId="BodyText2">
    <w:name w:val="Body Text 2"/>
    <w:basedOn w:val="Normal"/>
    <w:rsid w:val="00517F35"/>
    <w:pPr>
      <w:spacing w:after="120" w:line="480" w:lineRule="auto"/>
    </w:pPr>
  </w:style>
  <w:style w:type="paragraph" w:styleId="BodyText">
    <w:name w:val="Body Text"/>
    <w:basedOn w:val="Normal"/>
    <w:rsid w:val="00517F35"/>
    <w:pPr>
      <w:spacing w:after="120"/>
    </w:pPr>
  </w:style>
  <w:style w:type="paragraph" w:styleId="Footer">
    <w:name w:val="footer"/>
    <w:basedOn w:val="Normal"/>
    <w:link w:val="FooterChar"/>
    <w:uiPriority w:val="99"/>
    <w:rsid w:val="00AE4DD2"/>
    <w:pPr>
      <w:tabs>
        <w:tab w:val="center" w:pos="4320"/>
        <w:tab w:val="right" w:pos="8640"/>
      </w:tabs>
    </w:pPr>
  </w:style>
  <w:style w:type="character" w:styleId="PageNumber">
    <w:name w:val="page number"/>
    <w:basedOn w:val="DefaultParagraphFont"/>
    <w:rsid w:val="00AE4DD2"/>
  </w:style>
  <w:style w:type="table" w:styleId="TableGrid">
    <w:name w:val="Table Grid"/>
    <w:basedOn w:val="TableNormal"/>
    <w:uiPriority w:val="59"/>
    <w:rsid w:val="00AE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68"/>
    <w:pPr>
      <w:spacing w:after="200"/>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6B783D"/>
    <w:rPr>
      <w:rFonts w:ascii="Tahoma" w:hAnsi="Tahoma" w:cs="Tahoma"/>
      <w:sz w:val="16"/>
      <w:szCs w:val="16"/>
    </w:rPr>
  </w:style>
  <w:style w:type="character" w:customStyle="1" w:styleId="BalloonTextChar">
    <w:name w:val="Balloon Text Char"/>
    <w:basedOn w:val="DefaultParagraphFont"/>
    <w:link w:val="BalloonText"/>
    <w:uiPriority w:val="99"/>
    <w:semiHidden/>
    <w:rsid w:val="006B783D"/>
    <w:rPr>
      <w:rFonts w:ascii="Tahoma" w:hAnsi="Tahoma" w:cs="Tahoma"/>
      <w:sz w:val="16"/>
      <w:szCs w:val="16"/>
    </w:rPr>
  </w:style>
  <w:style w:type="paragraph" w:styleId="Header">
    <w:name w:val="header"/>
    <w:basedOn w:val="Normal"/>
    <w:link w:val="HeaderChar"/>
    <w:uiPriority w:val="99"/>
    <w:unhideWhenUsed/>
    <w:rsid w:val="00931858"/>
    <w:pPr>
      <w:tabs>
        <w:tab w:val="center" w:pos="4680"/>
        <w:tab w:val="right" w:pos="9360"/>
      </w:tabs>
    </w:pPr>
  </w:style>
  <w:style w:type="character" w:customStyle="1" w:styleId="HeaderChar">
    <w:name w:val="Header Char"/>
    <w:basedOn w:val="DefaultParagraphFont"/>
    <w:link w:val="Header"/>
    <w:uiPriority w:val="99"/>
    <w:rsid w:val="00931858"/>
    <w:rPr>
      <w:sz w:val="24"/>
    </w:rPr>
  </w:style>
  <w:style w:type="character" w:styleId="Hyperlink">
    <w:name w:val="Hyperlink"/>
    <w:basedOn w:val="DefaultParagraphFont"/>
    <w:uiPriority w:val="99"/>
    <w:unhideWhenUsed/>
    <w:rsid w:val="00A67944"/>
    <w:rPr>
      <w:color w:val="0000FF" w:themeColor="hyperlink"/>
      <w:u w:val="single"/>
    </w:rPr>
  </w:style>
  <w:style w:type="character" w:customStyle="1" w:styleId="FooterChar">
    <w:name w:val="Footer Char"/>
    <w:basedOn w:val="DefaultParagraphFont"/>
    <w:link w:val="Footer"/>
    <w:uiPriority w:val="99"/>
    <w:rsid w:val="00D8650F"/>
    <w:rPr>
      <w:sz w:val="24"/>
    </w:rPr>
  </w:style>
  <w:style w:type="character" w:customStyle="1" w:styleId="Heading3Char">
    <w:name w:val="Heading 3 Char"/>
    <w:basedOn w:val="DefaultParagraphFont"/>
    <w:link w:val="Heading3"/>
    <w:rsid w:val="00B560EF"/>
    <w:rPr>
      <w:b/>
      <w:sz w:val="24"/>
      <w:u w:val="single"/>
    </w:rPr>
  </w:style>
  <w:style w:type="paragraph" w:customStyle="1" w:styleId="TableText">
    <w:name w:val="Table Text"/>
    <w:basedOn w:val="Subtitle"/>
    <w:rsid w:val="00B560EF"/>
  </w:style>
  <w:style w:type="paragraph" w:styleId="Subtitle">
    <w:name w:val="Subtitle"/>
    <w:basedOn w:val="Normal"/>
    <w:next w:val="Normal"/>
    <w:link w:val="SubtitleChar"/>
    <w:uiPriority w:val="11"/>
    <w:qFormat/>
    <w:rsid w:val="00B560E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560EF"/>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561331"/>
    <w:rPr>
      <w:color w:val="605E5C"/>
      <w:shd w:val="clear" w:color="auto" w:fill="E1DFDD"/>
    </w:rPr>
  </w:style>
  <w:style w:type="character" w:styleId="CommentReference">
    <w:name w:val="annotation reference"/>
    <w:basedOn w:val="DefaultParagraphFont"/>
    <w:uiPriority w:val="99"/>
    <w:semiHidden/>
    <w:unhideWhenUsed/>
    <w:rsid w:val="00276ED6"/>
    <w:rPr>
      <w:sz w:val="16"/>
      <w:szCs w:val="16"/>
    </w:rPr>
  </w:style>
  <w:style w:type="paragraph" w:styleId="CommentText">
    <w:name w:val="annotation text"/>
    <w:basedOn w:val="Normal"/>
    <w:link w:val="CommentTextChar"/>
    <w:uiPriority w:val="99"/>
    <w:semiHidden/>
    <w:unhideWhenUsed/>
    <w:rsid w:val="00276ED6"/>
    <w:rPr>
      <w:sz w:val="20"/>
    </w:rPr>
  </w:style>
  <w:style w:type="character" w:customStyle="1" w:styleId="CommentTextChar">
    <w:name w:val="Comment Text Char"/>
    <w:basedOn w:val="DefaultParagraphFont"/>
    <w:link w:val="CommentText"/>
    <w:uiPriority w:val="99"/>
    <w:semiHidden/>
    <w:rsid w:val="00276ED6"/>
  </w:style>
  <w:style w:type="paragraph" w:styleId="CommentSubject">
    <w:name w:val="annotation subject"/>
    <w:basedOn w:val="CommentText"/>
    <w:next w:val="CommentText"/>
    <w:link w:val="CommentSubjectChar"/>
    <w:uiPriority w:val="99"/>
    <w:semiHidden/>
    <w:unhideWhenUsed/>
    <w:rsid w:val="00276ED6"/>
    <w:rPr>
      <w:b/>
      <w:bCs/>
    </w:rPr>
  </w:style>
  <w:style w:type="character" w:customStyle="1" w:styleId="CommentSubjectChar">
    <w:name w:val="Comment Subject Char"/>
    <w:basedOn w:val="CommentTextChar"/>
    <w:link w:val="CommentSubject"/>
    <w:uiPriority w:val="99"/>
    <w:semiHidden/>
    <w:rsid w:val="0027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ssmed.edu/officeofmanagement/policies-standards-and-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A53C-A4F8-470E-8466-3FFAC3CF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Medical School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Campanelli, Sherry</cp:lastModifiedBy>
  <cp:revision>4</cp:revision>
  <cp:lastPrinted>2013-05-08T15:10:00Z</cp:lastPrinted>
  <dcterms:created xsi:type="dcterms:W3CDTF">2020-01-27T13:15:00Z</dcterms:created>
  <dcterms:modified xsi:type="dcterms:W3CDTF">2020-01-27T13:36:00Z</dcterms:modified>
</cp:coreProperties>
</file>